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767" w:firstLineChars="400"/>
        <w:rPr>
          <w:rFonts w:hint="eastAsia" w:ascii="仿宋" w:hAnsi="仿宋" w:eastAsia="仿宋" w:cs="仿宋_GB2312"/>
          <w:b/>
          <w:bCs/>
          <w:color w:val="1F4E79" w:themeColor="accent1" w:themeShade="80"/>
          <w:sz w:val="44"/>
          <w:szCs w:val="44"/>
          <w:bdr w:val="single" w:color="auto" w:sz="4" w:space="0"/>
          <w:lang w:val="en-US" w:eastAsia="zh-CN"/>
        </w:rPr>
      </w:pPr>
    </w:p>
    <w:p>
      <w:pPr>
        <w:ind w:firstLine="1767" w:firstLineChars="400"/>
        <w:rPr>
          <w:rFonts w:hint="eastAsia" w:ascii="仿宋" w:hAnsi="仿宋" w:eastAsia="仿宋" w:cs="仿宋_GB2312"/>
          <w:b/>
          <w:bCs/>
          <w:color w:val="1F4E79" w:themeColor="accent1" w:themeShade="80"/>
          <w:sz w:val="44"/>
          <w:szCs w:val="44"/>
          <w:bdr w:val="single" w:color="auto" w:sz="4" w:space="0"/>
          <w:lang w:val="en-US" w:eastAsia="zh-CN"/>
        </w:rPr>
      </w:pPr>
    </w:p>
    <w:p>
      <w:pPr>
        <w:ind w:firstLine="1767" w:firstLineChars="400"/>
        <w:rPr>
          <w:rFonts w:hint="eastAsia" w:ascii="仿宋" w:hAnsi="仿宋" w:eastAsia="仿宋" w:cs="仿宋_GB2312"/>
          <w:b/>
          <w:bCs/>
          <w:color w:val="1F4E79" w:themeColor="accent1" w:themeShade="80"/>
          <w:sz w:val="44"/>
          <w:szCs w:val="44"/>
          <w:bdr w:val="single" w:color="auto" w:sz="4" w:space="0"/>
          <w:lang w:val="en-US" w:eastAsia="zh-CN"/>
        </w:rPr>
      </w:pPr>
    </w:p>
    <w:p>
      <w:pPr>
        <w:ind w:firstLine="1767" w:firstLineChars="400"/>
        <w:rPr>
          <w:rFonts w:hint="eastAsia" w:ascii="仿宋" w:hAnsi="仿宋" w:eastAsia="仿宋" w:cs="仿宋_GB2312"/>
          <w:b/>
          <w:bCs/>
          <w:color w:val="1F4E79" w:themeColor="accent1" w:themeShade="80"/>
          <w:sz w:val="44"/>
          <w:szCs w:val="44"/>
          <w:bdr w:val="single" w:color="auto" w:sz="4" w:space="0"/>
          <w:lang w:val="en-US" w:eastAsia="zh-CN"/>
        </w:rPr>
      </w:pPr>
    </w:p>
    <w:p/>
    <w:p/>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ind w:firstLine="1767" w:firstLineChars="400"/>
      </w:pPr>
      <w:r>
        <w:rPr>
          <w:rFonts w:hint="eastAsia" w:ascii="仿宋" w:hAnsi="仿宋" w:eastAsia="仿宋" w:cs="仿宋_GB2312"/>
          <w:b/>
          <w:bCs/>
          <w:color w:val="1F4E79" w:themeColor="accent1" w:themeShade="80"/>
          <w:sz w:val="44"/>
          <w:szCs w:val="44"/>
          <w:bdr w:val="single" w:color="auto" w:sz="4" w:space="0"/>
          <w:lang w:val="en-US" w:eastAsia="zh-CN"/>
        </w:rPr>
        <w:t xml:space="preserve">   </w:t>
      </w:r>
      <w:r>
        <w:rPr>
          <w:rFonts w:hint="eastAsia" w:ascii="仿宋" w:hAnsi="仿宋" w:eastAsia="仿宋" w:cs="仿宋_GB2312"/>
          <w:b/>
          <w:bCs/>
          <w:color w:val="1F4E79" w:themeColor="accent1" w:themeShade="80"/>
          <w:sz w:val="84"/>
          <w:szCs w:val="84"/>
          <w:bdr w:val="single" w:color="auto" w:sz="4" w:space="0"/>
          <w:lang w:val="en-US" w:eastAsia="zh-CN"/>
        </w:rPr>
        <w:t xml:space="preserve">冀拍通讯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协会动态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i w:val="0"/>
          <w:caps w:val="0"/>
          <w:color w:val="333333"/>
          <w:spacing w:val="8"/>
          <w:sz w:val="30"/>
          <w:szCs w:val="30"/>
          <w:shd w:val="clear" w:fill="FFFFFF"/>
        </w:rPr>
        <w:t>冀.沪两地拍卖行业代表交流座谈会在冀召开</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w:t>
      </w:r>
      <w:r>
        <w:rPr>
          <w:rFonts w:hint="eastAsia" w:ascii="仿宋" w:hAnsi="仿宋" w:eastAsia="仿宋" w:cs="仿宋"/>
          <w:color w:val="181717" w:themeColor="background2" w:themeShade="1A"/>
          <w:sz w:val="30"/>
          <w:szCs w:val="30"/>
          <w:lang w:val="en-US" w:eastAsia="zh-CN"/>
        </w:rPr>
        <w:t>3</w:t>
      </w:r>
      <w:r>
        <w:rPr>
          <w:rFonts w:hint="eastAsia" w:ascii="仿宋" w:hAnsi="仿宋" w:eastAsia="仿宋" w:cs="仿宋"/>
          <w:color w:val="181717" w:themeColor="background2" w:themeShade="1A"/>
          <w:sz w:val="30"/>
          <w:szCs w:val="30"/>
          <w:lang w:eastAsia="zh-CN"/>
        </w:rPr>
        <w:t>）</w:t>
      </w:r>
    </w:p>
    <w:p>
      <w:pPr>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通知文告</w:t>
      </w:r>
    </w:p>
    <w:p>
      <w:pPr>
        <w:keepNext w:val="0"/>
        <w:keepLines w:val="0"/>
        <w:widowControl/>
        <w:suppressLineNumbers w:val="0"/>
        <w:spacing w:before="0" w:beforeAutospacing="0" w:after="150" w:afterAutospacing="0" w:line="21" w:lineRule="atLeast"/>
        <w:ind w:left="0" w:right="0"/>
        <w:jc w:val="both"/>
        <w:rPr>
          <w:rFonts w:hint="eastAsia" w:ascii="仿宋" w:hAnsi="仿宋" w:eastAsia="仿宋" w:cs="仿宋"/>
          <w:color w:val="181717" w:themeColor="background2" w:themeShade="1A"/>
          <w:sz w:val="30"/>
          <w:szCs w:val="30"/>
          <w:lang w:val="en-US"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333333"/>
          <w:kern w:val="0"/>
          <w:sz w:val="30"/>
          <w:szCs w:val="30"/>
          <w:lang w:val="en-US" w:eastAsia="zh-CN" w:bidi="ar"/>
        </w:rPr>
        <w:t xml:space="preserve">关于做好2018年度全国文物艺术品拍卖专项统计工作的通知 </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(8)</w:t>
      </w:r>
      <w:bookmarkStart w:id="1" w:name="_GoBack"/>
      <w:bookmarkEnd w:id="1"/>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 w:hAnsi="仿宋" w:eastAsia="仿宋" w:cs="仿宋"/>
          <w:color w:val="181717" w:themeColor="background2" w:themeShade="1A"/>
          <w:sz w:val="30"/>
          <w:szCs w:val="30"/>
          <w:lang w:val="en-US" w:eastAsia="zh-CN"/>
        </w:rPr>
      </w:pPr>
      <w:r>
        <w:rPr>
          <w:rFonts w:hint="eastAsia" w:ascii="仿宋" w:hAnsi="仿宋" w:eastAsia="仿宋" w:cs="仿宋"/>
          <w:color w:val="181717" w:themeColor="background2" w:themeShade="1A"/>
          <w:sz w:val="30"/>
          <w:szCs w:val="30"/>
        </w:rPr>
        <w:t>△</w:t>
      </w:r>
      <w:r>
        <w:rPr>
          <w:rStyle w:val="10"/>
          <w:rFonts w:hint="eastAsia" w:ascii="仿宋" w:hAnsi="仿宋" w:eastAsia="仿宋" w:cs="仿宋"/>
          <w:i w:val="0"/>
          <w:caps w:val="0"/>
          <w:color w:val="333333"/>
          <w:spacing w:val="8"/>
          <w:sz w:val="30"/>
          <w:szCs w:val="30"/>
          <w:shd w:val="clear" w:fill="FFFFFF"/>
        </w:rPr>
        <w:t>关于2019年拍卖企业等级评估工作安排的通知</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(10)</w:t>
      </w:r>
    </w:p>
    <w:p>
      <w:pPr>
        <w:tabs>
          <w:tab w:val="left" w:pos="2660"/>
        </w:tabs>
        <w:bidi w:val="0"/>
        <w:jc w:val="left"/>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政策解读</w:t>
      </w:r>
    </w:p>
    <w:p>
      <w:pPr>
        <w:tabs>
          <w:tab w:val="left" w:pos="2660"/>
        </w:tabs>
        <w:bidi w:val="0"/>
        <w:jc w:val="left"/>
        <w:rPr>
          <w:rFonts w:hint="eastAsia" w:ascii="仿宋" w:hAnsi="仿宋" w:eastAsia="仿宋" w:cs="仿宋"/>
          <w:color w:val="181717" w:themeColor="background2" w:themeShade="1A"/>
          <w:sz w:val="30"/>
          <w:szCs w:val="30"/>
          <w:lang w:val="en-US"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b/>
          <w:i w:val="0"/>
          <w:caps w:val="0"/>
          <w:color w:val="191919"/>
          <w:spacing w:val="0"/>
          <w:sz w:val="30"/>
          <w:szCs w:val="30"/>
          <w:shd w:val="clear" w:fill="FFFFFF"/>
        </w:rPr>
        <w:t>新农村土地承包法的七大要点</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(13)</w:t>
      </w: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拍买论谈</w:t>
      </w: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30"/>
          <w:szCs w:val="30"/>
          <w:lang w:val="en-US"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sz w:val="30"/>
          <w:szCs w:val="30"/>
          <w:lang w:val="en-US" w:eastAsia="zh-CN"/>
        </w:rPr>
        <w:t xml:space="preserve"> 落槌拍品退款是否构成解约</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(23)</w:t>
      </w:r>
    </w:p>
    <w:p>
      <w:pPr>
        <w:pStyle w:val="6"/>
        <w:keepNext w:val="0"/>
        <w:keepLines w:val="0"/>
        <w:widowControl/>
        <w:suppressLineNumbers w:val="0"/>
        <w:spacing w:line="21" w:lineRule="atLeast"/>
        <w:jc w:val="both"/>
        <w:rPr>
          <w:rFonts w:hint="eastAsia" w:ascii="仿宋" w:hAnsi="仿宋" w:eastAsia="仿宋" w:cs="仿宋"/>
          <w:sz w:val="30"/>
          <w:szCs w:val="30"/>
          <w:lang w:val="en-US"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 xml:space="preserve"> </w:t>
      </w:r>
      <w:r>
        <w:rPr>
          <w:rFonts w:hint="eastAsia" w:ascii="仿宋" w:hAnsi="仿宋" w:eastAsia="仿宋" w:cs="仿宋"/>
          <w:sz w:val="30"/>
          <w:szCs w:val="30"/>
          <w:lang w:val="en-US" w:eastAsia="zh-CN"/>
        </w:rPr>
        <w:t>拍卖 海关罚没物变现价值最大化</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(27)</w:t>
      </w:r>
    </w:p>
    <w:p>
      <w:pPr>
        <w:tabs>
          <w:tab w:val="left" w:pos="2455"/>
        </w:tabs>
        <w:bidi w:val="0"/>
        <w:jc w:val="left"/>
        <w:rPr>
          <w:rFonts w:hint="eastAsia" w:ascii="仿宋" w:hAnsi="仿宋" w:eastAsia="仿宋" w:cs="仿宋"/>
          <w:sz w:val="30"/>
          <w:szCs w:val="30"/>
          <w:lang w:val="en-US"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 xml:space="preserve"> </w:t>
      </w:r>
      <w:r>
        <w:rPr>
          <w:rFonts w:hint="eastAsia" w:ascii="仿宋" w:hAnsi="仿宋" w:eastAsia="仿宋" w:cs="仿宋"/>
          <w:sz w:val="30"/>
          <w:szCs w:val="30"/>
          <w:lang w:val="en-US" w:eastAsia="zh-CN"/>
        </w:rPr>
        <w:t>法院拍卖房产流拍三次后如何处理</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(33)</w:t>
      </w:r>
    </w:p>
    <w:p>
      <w:pPr>
        <w:pStyle w:val="6"/>
        <w:keepNext w:val="0"/>
        <w:keepLines w:val="0"/>
        <w:widowControl/>
        <w:suppressLineNumbers w:val="0"/>
        <w:rPr>
          <w:rFonts w:hint="eastAsia" w:ascii="仿宋" w:hAnsi="仿宋" w:eastAsia="仿宋" w:cs="仿宋"/>
          <w:sz w:val="30"/>
          <w:szCs w:val="30"/>
          <w:lang w:val="en-US"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收藏鉴</w:t>
      </w:r>
      <w:r>
        <w:rPr>
          <w:rFonts w:hint="eastAsia" w:ascii="仿宋" w:hAnsi="仿宋" w:eastAsia="仿宋" w:cs="仿宋"/>
          <w:sz w:val="30"/>
          <w:szCs w:val="30"/>
          <w:lang w:val="en-US" w:eastAsia="zh-CN"/>
        </w:rPr>
        <w:t>赏</w:t>
      </w:r>
    </w:p>
    <w:p>
      <w:pPr>
        <w:pStyle w:val="6"/>
        <w:keepNext w:val="0"/>
        <w:keepLines w:val="0"/>
        <w:widowControl/>
        <w:suppressLineNumbers w:val="0"/>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343434"/>
          <w:sz w:val="30"/>
          <w:szCs w:val="30"/>
        </w:rPr>
        <w:t>艺术品拍卖市场的调整与困惑</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val="en-US" w:eastAsia="zh-CN"/>
        </w:rPr>
        <w:t>(40)</w:t>
      </w:r>
    </w:p>
    <w:p>
      <w:pPr>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拍卖师变更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rPr>
          <w:rFonts w:hint="eastAsia" w:ascii="仿宋" w:hAnsi="仿宋" w:eastAsia="仿宋" w:cs="仿宋"/>
          <w:color w:val="181717" w:themeColor="background2" w:themeShade="1A"/>
          <w:sz w:val="30"/>
          <w:szCs w:val="30"/>
          <w:lang w:eastAsia="zh-CN"/>
        </w:rPr>
      </w:pPr>
      <w:r>
        <w:rPr>
          <w:rFonts w:hint="eastAsia" w:ascii="仿宋" w:hAnsi="仿宋" w:eastAsia="仿宋" w:cs="仿宋"/>
          <w:color w:val="181717" w:themeColor="background2" w:themeShade="1A"/>
          <w:sz w:val="30"/>
          <w:szCs w:val="30"/>
        </w:rPr>
        <w:t>△</w:t>
      </w:r>
      <w:r>
        <w:rPr>
          <w:rFonts w:hint="eastAsia" w:ascii="仿宋" w:hAnsi="仿宋" w:eastAsia="仿宋" w:cs="仿宋"/>
          <w:b w:val="0"/>
          <w:i w:val="0"/>
          <w:caps w:val="0"/>
          <w:color w:val="181717" w:themeColor="background2" w:themeShade="1A"/>
          <w:spacing w:val="0"/>
          <w:sz w:val="30"/>
          <w:szCs w:val="30"/>
          <w:shd w:val="clear" w:fill="FFFFFF"/>
          <w:lang w:val="en-US" w:eastAsia="zh-CN"/>
        </w:rPr>
        <w:t>2019年3月---4月拍卖师变更名单</w:t>
      </w:r>
      <w:r>
        <w:rPr>
          <w:rFonts w:hint="eastAsia" w:ascii="仿宋" w:hAnsi="仿宋" w:eastAsia="仿宋" w:cs="仿宋"/>
          <w:color w:val="181717" w:themeColor="background2" w:themeShade="1A"/>
          <w:sz w:val="30"/>
          <w:szCs w:val="30"/>
        </w:rPr>
        <w:t>…………</w:t>
      </w:r>
      <w:r>
        <w:rPr>
          <w:rFonts w:hint="eastAsia" w:ascii="仿宋" w:hAnsi="仿宋" w:eastAsia="仿宋" w:cs="仿宋"/>
          <w:color w:val="181717" w:themeColor="background2" w:themeShade="1A"/>
          <w:sz w:val="30"/>
          <w:szCs w:val="30"/>
          <w:lang w:eastAsia="zh-CN"/>
        </w:rPr>
        <w:t>（</w:t>
      </w:r>
      <w:r>
        <w:rPr>
          <w:rFonts w:hint="eastAsia" w:ascii="仿宋" w:hAnsi="仿宋" w:eastAsia="仿宋" w:cs="仿宋"/>
          <w:color w:val="181717" w:themeColor="background2" w:themeShade="1A"/>
          <w:sz w:val="30"/>
          <w:szCs w:val="30"/>
          <w:lang w:val="en-US" w:eastAsia="zh-CN"/>
        </w:rPr>
        <w:t>45</w:t>
      </w:r>
      <w:r>
        <w:rPr>
          <w:rFonts w:hint="eastAsia" w:ascii="仿宋" w:hAnsi="仿宋" w:eastAsia="仿宋" w:cs="仿宋"/>
          <w:color w:val="181717" w:themeColor="background2" w:themeShade="1A"/>
          <w:sz w:val="30"/>
          <w:szCs w:val="30"/>
          <w:lang w:eastAsia="zh-CN"/>
        </w:rPr>
        <w:t>）</w:t>
      </w: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30"/>
          <w:szCs w:val="30"/>
          <w:lang w:eastAsia="zh-CN"/>
        </w:rPr>
      </w:pP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30"/>
          <w:szCs w:val="30"/>
          <w:lang w:eastAsia="zh-CN"/>
        </w:rPr>
      </w:pP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30"/>
          <w:szCs w:val="30"/>
          <w:lang w:val="en-US" w:eastAsia="zh-CN"/>
        </w:rPr>
      </w:pP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30"/>
          <w:szCs w:val="30"/>
          <w:lang w:eastAsia="zh-CN"/>
        </w:rPr>
      </w:pP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28"/>
          <w:szCs w:val="28"/>
          <w:lang w:eastAsia="zh-CN"/>
        </w:rPr>
      </w:pP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A"/>
          <w:sz w:val="28"/>
          <w:szCs w:val="28"/>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default" w:ascii="仿宋" w:hAnsi="仿宋" w:eastAsia="仿宋" w:cs="仿宋"/>
          <w:color w:val="181717" w:themeColor="background2" w:themeShade="1A"/>
          <w:sz w:val="28"/>
          <w:szCs w:val="28"/>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协会动态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723" w:firstLineChars="200"/>
        <w:rPr>
          <w:rFonts w:hint="eastAsia" w:ascii="仿宋" w:hAnsi="仿宋" w:eastAsia="仿宋" w:cs="仿宋"/>
          <w:i w:val="0"/>
          <w:caps w:val="0"/>
          <w:color w:val="333333"/>
          <w:spacing w:val="8"/>
          <w:sz w:val="36"/>
          <w:szCs w:val="36"/>
          <w:shd w:val="clear" w:fill="FFFFFF"/>
        </w:rPr>
      </w:pPr>
      <w:r>
        <w:rPr>
          <w:rFonts w:hint="eastAsia" w:ascii="仿宋" w:hAnsi="仿宋" w:eastAsia="仿宋" w:cs="仿宋"/>
          <w:sz w:val="36"/>
          <w:szCs w:val="36"/>
          <w:lang w:val="en-US" w:eastAsia="zh-CN"/>
        </w:rPr>
        <w:tab/>
      </w:r>
      <w:r>
        <w:rPr>
          <w:rFonts w:hint="eastAsia" w:ascii="仿宋" w:hAnsi="仿宋" w:eastAsia="仿宋" w:cs="仿宋"/>
          <w:i w:val="0"/>
          <w:caps w:val="0"/>
          <w:color w:val="333333"/>
          <w:spacing w:val="8"/>
          <w:sz w:val="36"/>
          <w:szCs w:val="36"/>
          <w:shd w:val="clear" w:fill="FFFFFF"/>
        </w:rPr>
        <w:t>冀.沪两地拍卖行业代表交流座谈会在冀召开</w:t>
      </w:r>
    </w:p>
    <w:p/>
    <w:p/>
    <w:p/>
    <w:p/>
    <w:p>
      <w:r>
        <w:drawing>
          <wp:inline distT="0" distB="0" distL="114300" distR="114300">
            <wp:extent cx="5266690" cy="2740660"/>
            <wp:effectExtent l="0" t="0" r="10160" b="2540"/>
            <wp:docPr id="9" name="图片 9" descr="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webp"/>
                    <pic:cNvPicPr>
                      <a:picLocks noChangeAspect="1"/>
                    </pic:cNvPicPr>
                  </pic:nvPicPr>
                  <pic:blipFill>
                    <a:blip r:embed="rId5"/>
                    <a:stretch>
                      <a:fillRect/>
                    </a:stretch>
                  </pic:blipFill>
                  <pic:spPr>
                    <a:xfrm>
                      <a:off x="0" y="0"/>
                      <a:ext cx="5266690" cy="274066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both"/>
        <w:rPr>
          <w:rFonts w:hint="eastAsia" w:ascii="仿宋" w:hAnsi="仿宋" w:eastAsia="仿宋" w:cs="仿宋"/>
          <w:i w:val="0"/>
          <w:caps w:val="0"/>
          <w:color w:val="333333"/>
          <w:spacing w:val="8"/>
          <w:sz w:val="28"/>
          <w:szCs w:val="28"/>
          <w:shd w:val="clear" w:fill="FFFFFF"/>
        </w:rPr>
      </w:pPr>
      <w:r>
        <w:rPr>
          <w:rFonts w:hint="eastAsia" w:ascii="仿宋" w:hAnsi="仿宋" w:eastAsia="仿宋" w:cs="仿宋"/>
          <w:i w:val="0"/>
          <w:caps w:val="0"/>
          <w:color w:val="333333"/>
          <w:spacing w:val="8"/>
          <w:sz w:val="28"/>
          <w:szCs w:val="28"/>
          <w:shd w:val="clear" w:fill="FFFFFF"/>
        </w:rPr>
        <w:t>4月18日，上海市拍卖行业协会会长冯明强率队一行十四人赴河北，学习考察河北拍卖行业经营发展情况，并就深化两地合作机制、协同政策与资源开发等，与河北省拍卖行业代表座谈交流。河北拍协李兰欣会长、常务副会长兼秘书长蒋旭等热情接待上海拍协一行，并陪同考察了省内部分拍卖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92" w:firstLineChars="200"/>
        <w:jc w:val="both"/>
        <w:rPr>
          <w:rFonts w:hint="eastAsia" w:ascii="仿宋" w:hAnsi="仿宋" w:eastAsia="仿宋" w:cs="仿宋"/>
          <w:i w:val="0"/>
          <w:caps w:val="0"/>
          <w:color w:val="333333"/>
          <w:spacing w:val="8"/>
          <w:sz w:val="28"/>
          <w:szCs w:val="28"/>
          <w:shd w:val="clear" w:fill="FFFFFF"/>
          <w:lang w:eastAsia="zh-CN"/>
        </w:rPr>
      </w:pPr>
      <w:r>
        <w:rPr>
          <w:rFonts w:hint="eastAsia" w:ascii="仿宋" w:hAnsi="仿宋" w:eastAsia="仿宋" w:cs="仿宋"/>
          <w:i w:val="0"/>
          <w:caps w:val="0"/>
          <w:color w:val="333333"/>
          <w:spacing w:val="8"/>
          <w:sz w:val="28"/>
          <w:szCs w:val="28"/>
          <w:shd w:val="clear" w:fill="FFFFFF"/>
          <w:lang w:eastAsia="zh-CN"/>
        </w:rPr>
        <w:drawing>
          <wp:inline distT="0" distB="0" distL="114300" distR="114300">
            <wp:extent cx="4976495" cy="3732530"/>
            <wp:effectExtent l="0" t="0" r="14605" b="1270"/>
            <wp:docPr id="10" name="图片 10" descr="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webp"/>
                    <pic:cNvPicPr>
                      <a:picLocks noChangeAspect="1"/>
                    </pic:cNvPicPr>
                  </pic:nvPicPr>
                  <pic:blipFill>
                    <a:blip r:embed="rId6"/>
                    <a:stretch>
                      <a:fillRect/>
                    </a:stretch>
                  </pic:blipFill>
                  <pic:spPr>
                    <a:xfrm>
                      <a:off x="0" y="0"/>
                      <a:ext cx="4976495" cy="373253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rPr>
      </w:pPr>
      <w:r>
        <w:rPr>
          <w:rFonts w:hint="eastAsia" w:ascii="仿宋" w:hAnsi="仿宋" w:eastAsia="仿宋" w:cs="仿宋"/>
          <w:i w:val="0"/>
          <w:caps w:val="0"/>
          <w:color w:val="333333"/>
          <w:spacing w:val="8"/>
          <w:sz w:val="25"/>
          <w:szCs w:val="25"/>
          <w:shd w:val="clear" w:fill="FFFFFF"/>
        </w:rPr>
        <w:drawing>
          <wp:inline distT="0" distB="0" distL="114300" distR="114300">
            <wp:extent cx="304800" cy="304800"/>
            <wp:effectExtent l="0" t="0" r="0" b="0"/>
            <wp:docPr id="4"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7"/>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r>
        <w:rPr>
          <w:rFonts w:hint="eastAsia" w:ascii="仿宋" w:hAnsi="仿宋" w:eastAsia="仿宋" w:cs="仿宋"/>
          <w:i w:val="0"/>
          <w:caps w:val="0"/>
          <w:color w:val="333333"/>
          <w:spacing w:val="8"/>
          <w:sz w:val="28"/>
          <w:szCs w:val="28"/>
          <w:shd w:val="clear" w:fill="FFFFFF"/>
        </w:rPr>
        <w:t>在座谈会上，河北拍协李兰欣会长介绍了河北省社会、经济、文化的总体环境，特别是全省拍卖行业在过去十五年中取得了显著发展进步，在政府关心、协会支撑、企业作为的共同努力下，拍卖市场规范有序发展，目前全省拍卖会近400家，年成交额近1000亿元。近几年，河北拍卖行业在司法委托、国有产权遭遇重大变化的困境下，从国有土地拍卖等业务中开拓出新渠道，为拍卖行业进一步深化转型和开拓市场争取了宝贵的时间和空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i w:val="0"/>
          <w:caps w:val="0"/>
          <w:color w:val="333333"/>
          <w:spacing w:val="8"/>
          <w:sz w:val="28"/>
          <w:szCs w:val="28"/>
          <w:shd w:val="clear" w:fill="FFFFFF"/>
        </w:rPr>
      </w:pPr>
      <w:r>
        <w:rPr>
          <w:rFonts w:hint="eastAsia" w:ascii="仿宋" w:hAnsi="仿宋" w:eastAsia="仿宋" w:cs="仿宋"/>
          <w:i w:val="0"/>
          <w:caps w:val="0"/>
          <w:color w:val="333333"/>
          <w:spacing w:val="8"/>
          <w:sz w:val="28"/>
          <w:szCs w:val="28"/>
          <w:shd w:val="clear" w:fill="FFFFFF"/>
        </w:rPr>
        <w:t>李兰欣会长同时表示，当前河北和全国拍卖行业一样，面临着一些重大挑战和困难，主要是政策型业务向市场化转型的瓶颈、市场竞争与行业自律的良性推进等。上海在拍卖行业的创新发展中有诸多亮点，希望冀沪两地的拍卖行业能够深化交流和合作，借鉴对方的成功经验，共同研究解决一些发展中的共性问题，碰撞出市场合作的火花，创造更多的发展机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i w:val="0"/>
          <w:caps w:val="0"/>
          <w:color w:val="333333"/>
          <w:spacing w:val="8"/>
          <w:sz w:val="28"/>
          <w:szCs w:val="28"/>
          <w:shd w:val="clear" w:fill="FFFFFF"/>
          <w:lang w:eastAsia="zh-CN"/>
        </w:rPr>
      </w:pPr>
      <w:r>
        <w:rPr>
          <w:rFonts w:hint="eastAsia" w:ascii="仿宋" w:hAnsi="仿宋" w:eastAsia="仿宋" w:cs="仿宋"/>
          <w:i w:val="0"/>
          <w:caps w:val="0"/>
          <w:color w:val="333333"/>
          <w:spacing w:val="8"/>
          <w:sz w:val="28"/>
          <w:szCs w:val="28"/>
          <w:shd w:val="clear" w:fill="FFFFFF"/>
          <w:lang w:eastAsia="zh-CN"/>
        </w:rPr>
        <w:drawing>
          <wp:inline distT="0" distB="0" distL="114300" distR="114300">
            <wp:extent cx="5266690" cy="3950335"/>
            <wp:effectExtent l="0" t="0" r="10160" b="12065"/>
            <wp:docPr id="11" name="图片 11"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webp"/>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rPr>
      </w:pPr>
      <w:r>
        <w:rPr>
          <w:rFonts w:hint="eastAsia" w:ascii="仿宋" w:hAnsi="仿宋" w:eastAsia="仿宋" w:cs="仿宋"/>
          <w:i w:val="0"/>
          <w:caps w:val="0"/>
          <w:color w:val="333333"/>
          <w:spacing w:val="8"/>
          <w:sz w:val="25"/>
          <w:szCs w:val="25"/>
          <w:shd w:val="clear" w:fill="FFFFFF"/>
        </w:rPr>
        <w:drawing>
          <wp:inline distT="0" distB="0" distL="114300" distR="114300">
            <wp:extent cx="304800" cy="304800"/>
            <wp:effectExtent l="0" t="0" r="0" b="0"/>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i w:val="0"/>
          <w:caps w:val="0"/>
          <w:color w:val="333333"/>
          <w:spacing w:val="8"/>
          <w:sz w:val="28"/>
          <w:szCs w:val="28"/>
          <w:shd w:val="clear" w:fill="FFFFFF"/>
        </w:rPr>
      </w:pPr>
      <w:r>
        <w:rPr>
          <w:rFonts w:hint="eastAsia" w:ascii="仿宋" w:hAnsi="仿宋" w:eastAsia="仿宋" w:cs="仿宋"/>
          <w:i w:val="0"/>
          <w:caps w:val="0"/>
          <w:color w:val="333333"/>
          <w:spacing w:val="8"/>
          <w:sz w:val="28"/>
          <w:szCs w:val="28"/>
          <w:shd w:val="clear" w:fill="FFFFFF"/>
        </w:rPr>
        <w:t>上海拍协冯明强会长首先对河北拍协的热情接待表示感谢，对河北拍卖行业十五年中企业数量增长10倍、经营总额增长30倍的辉煌业绩表示祝贺。冯明强会长表示，这次交流是抱着学习的精神，考察学习河北拍卖行业的特色和亮点，河北拍卖行业勇于开拓、务实钻研，尤其在当前困难时期，协会和企业斗志昂扬，实现了逆势增长，成交额已接近上海的3倍，鼓舞了全国拍卖行业信心。此外，河北文化底蕴深厚，地理位置优越，具有重大的国家战略功能，拍卖行业抓住这些机遇，可以有更大作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i w:val="0"/>
          <w:caps w:val="0"/>
          <w:color w:val="333333"/>
          <w:spacing w:val="8"/>
          <w:sz w:val="28"/>
          <w:szCs w:val="28"/>
          <w:shd w:val="clear" w:fill="FFFFFF"/>
          <w:lang w:eastAsia="zh-CN"/>
        </w:rPr>
      </w:pPr>
      <w:r>
        <w:rPr>
          <w:rFonts w:hint="eastAsia" w:ascii="仿宋" w:hAnsi="仿宋" w:eastAsia="仿宋" w:cs="仿宋"/>
          <w:i w:val="0"/>
          <w:caps w:val="0"/>
          <w:color w:val="333333"/>
          <w:spacing w:val="8"/>
          <w:sz w:val="28"/>
          <w:szCs w:val="28"/>
          <w:shd w:val="clear" w:fill="FFFFFF"/>
          <w:lang w:eastAsia="zh-CN"/>
        </w:rPr>
        <w:drawing>
          <wp:inline distT="0" distB="0" distL="114300" distR="114300">
            <wp:extent cx="5266690" cy="3950335"/>
            <wp:effectExtent l="0" t="0" r="10160" b="12065"/>
            <wp:docPr id="12" name="图片 12" descr="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webp"/>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rPr>
      </w:pPr>
      <w:r>
        <w:rPr>
          <w:rFonts w:hint="eastAsia" w:ascii="仿宋" w:hAnsi="仿宋" w:eastAsia="仿宋" w:cs="仿宋"/>
          <w:i w:val="0"/>
          <w:caps w:val="0"/>
          <w:color w:val="333333"/>
          <w:spacing w:val="8"/>
          <w:sz w:val="25"/>
          <w:szCs w:val="25"/>
          <w:shd w:val="clear" w:fill="FFFFFF"/>
        </w:rPr>
        <w:drawing>
          <wp:inline distT="0" distB="0" distL="114300" distR="114300">
            <wp:extent cx="304800" cy="304800"/>
            <wp:effectExtent l="0" t="0" r="0" b="0"/>
            <wp:docPr id="6"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i w:val="0"/>
          <w:caps w:val="0"/>
          <w:color w:val="333333"/>
          <w:spacing w:val="8"/>
          <w:sz w:val="28"/>
          <w:szCs w:val="28"/>
          <w:shd w:val="clear" w:fill="FFFFFF"/>
        </w:rPr>
      </w:pPr>
      <w:r>
        <w:rPr>
          <w:rFonts w:hint="eastAsia" w:ascii="仿宋" w:hAnsi="仿宋" w:eastAsia="仿宋" w:cs="仿宋"/>
          <w:i w:val="0"/>
          <w:caps w:val="0"/>
          <w:color w:val="333333"/>
          <w:spacing w:val="8"/>
          <w:sz w:val="28"/>
          <w:szCs w:val="28"/>
          <w:shd w:val="clear" w:fill="FFFFFF"/>
        </w:rPr>
        <w:t>冯明强会长介绍到，上海这几年中在行业监管、公拍平台建设、网络平台建设运营等方面有一些创新成果，但正如李兰欣会长所说，也面临着全国拍卖行业的共性问题，需要集中更多的智慧和力量，抱团协作，突破瓶颈，以点带面取得整体进步。上海拍协十分愿意与同行分享交流这些经验和成果，也十分需要学习借鉴各地同行的特色，提升市场核心竞争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i w:val="0"/>
          <w:caps w:val="0"/>
          <w:color w:val="333333"/>
          <w:spacing w:val="8"/>
          <w:sz w:val="28"/>
          <w:szCs w:val="28"/>
          <w:shd w:val="clear" w:fill="FFFFFF"/>
          <w:lang w:eastAsia="zh-CN"/>
        </w:rPr>
      </w:pPr>
      <w:r>
        <w:rPr>
          <w:rFonts w:hint="eastAsia" w:ascii="仿宋" w:hAnsi="仿宋" w:eastAsia="仿宋" w:cs="仿宋"/>
          <w:i w:val="0"/>
          <w:caps w:val="0"/>
          <w:color w:val="333333"/>
          <w:spacing w:val="8"/>
          <w:sz w:val="28"/>
          <w:szCs w:val="28"/>
          <w:shd w:val="clear" w:fill="FFFFFF"/>
          <w:lang w:eastAsia="zh-CN"/>
        </w:rPr>
        <w:drawing>
          <wp:inline distT="0" distB="0" distL="114300" distR="114300">
            <wp:extent cx="4733925" cy="4733925"/>
            <wp:effectExtent l="0" t="0" r="9525" b="9525"/>
            <wp:docPr id="13" name="图片 13" descr="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webp"/>
                    <pic:cNvPicPr>
                      <a:picLocks noChangeAspect="1"/>
                    </pic:cNvPicPr>
                  </pic:nvPicPr>
                  <pic:blipFill>
                    <a:blip r:embed="rId10"/>
                    <a:stretch>
                      <a:fillRect/>
                    </a:stretch>
                  </pic:blipFill>
                  <pic:spPr>
                    <a:xfrm>
                      <a:off x="0" y="0"/>
                      <a:ext cx="4733925" cy="473392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rPr>
      </w:pPr>
      <w:r>
        <w:rPr>
          <w:rFonts w:hint="eastAsia" w:ascii="仿宋" w:hAnsi="仿宋" w:eastAsia="仿宋" w:cs="仿宋"/>
          <w:i w:val="0"/>
          <w:caps w:val="0"/>
          <w:color w:val="333333"/>
          <w:spacing w:val="8"/>
          <w:sz w:val="25"/>
          <w:szCs w:val="25"/>
          <w:shd w:val="clear" w:fill="FFFFFF"/>
        </w:rPr>
        <w:drawing>
          <wp:inline distT="0" distB="0" distL="114300" distR="114300">
            <wp:extent cx="304800" cy="304800"/>
            <wp:effectExtent l="0" t="0" r="0" b="0"/>
            <wp:docPr id="5"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0"/>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r>
        <w:rPr>
          <w:rFonts w:hint="eastAsia" w:ascii="仿宋" w:hAnsi="仿宋" w:eastAsia="仿宋" w:cs="仿宋"/>
          <w:i w:val="0"/>
          <w:caps w:val="0"/>
          <w:color w:val="333333"/>
          <w:spacing w:val="8"/>
          <w:sz w:val="28"/>
          <w:szCs w:val="28"/>
          <w:shd w:val="clear" w:fill="FFFFFF"/>
        </w:rPr>
        <w:t>座谈会上，冀沪两地的代表畅所欲言，就政策设计与协调、市场开拓与创新、网络平台运营等展开探讨和交流。与会者一致认为，在当前环境下，两地同行要深化合作，在具有共性的政策性业务领域相互借鉴对方成功经验，坚守阵地，为行业持续发展争取时机；行业要借助“互联网+”、“新零售+”的趋势，提升“线上+线下”协同服务的能力，打造独具特色的拍卖服务业态；同时，两地行业因地制宜，开发特色拍卖市场和资源，加强协同，在艺术品、农产品等领域形成更多的合力，实现战略互补双赢，共同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rPr>
      </w:pPr>
      <w:r>
        <w:rPr>
          <w:rFonts w:hint="eastAsia" w:ascii="仿宋" w:hAnsi="仿宋" w:eastAsia="仿宋" w:cs="仿宋"/>
          <w:i w:val="0"/>
          <w:caps w:val="0"/>
          <w:color w:val="333333"/>
          <w:spacing w:val="8"/>
          <w:sz w:val="25"/>
          <w:szCs w:val="25"/>
          <w:shd w:val="clear" w:fill="FFFFFF"/>
        </w:rPr>
        <w:drawing>
          <wp:inline distT="0" distB="0" distL="114300" distR="114300">
            <wp:extent cx="5210175" cy="4257675"/>
            <wp:effectExtent l="0" t="0" r="9525" b="9525"/>
            <wp:docPr id="14" name="图片 14" descr="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webp"/>
                    <pic:cNvPicPr>
                      <a:picLocks noChangeAspect="1"/>
                    </pic:cNvPicPr>
                  </pic:nvPicPr>
                  <pic:blipFill>
                    <a:blip r:embed="rId11"/>
                    <a:stretch>
                      <a:fillRect/>
                    </a:stretch>
                  </pic:blipFill>
                  <pic:spPr>
                    <a:xfrm>
                      <a:off x="0" y="0"/>
                      <a:ext cx="5210175" cy="4257675"/>
                    </a:xfrm>
                    <a:prstGeom prst="rect">
                      <a:avLst/>
                    </a:prstGeom>
                  </pic:spPr>
                </pic:pic>
              </a:graphicData>
            </a:graphic>
          </wp:inline>
        </w:drawing>
      </w:r>
      <w:r>
        <w:rPr>
          <w:rFonts w:hint="eastAsia" w:ascii="仿宋" w:hAnsi="仿宋" w:eastAsia="仿宋" w:cs="仿宋"/>
          <w:i w:val="0"/>
          <w:caps w:val="0"/>
          <w:color w:val="333333"/>
          <w:spacing w:val="8"/>
          <w:sz w:val="25"/>
          <w:szCs w:val="25"/>
          <w:shd w:val="clear" w:fill="FFFFFF"/>
        </w:rPr>
        <w:drawing>
          <wp:inline distT="0" distB="0" distL="114300" distR="114300">
            <wp:extent cx="304800" cy="304800"/>
            <wp:effectExtent l="0" t="0" r="0" b="0"/>
            <wp:docPr id="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1"/>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rPr>
          <w:rFonts w:hint="eastAsia" w:ascii="仿宋" w:hAnsi="仿宋" w:eastAsia="仿宋" w:cs="仿宋"/>
        </w:rPr>
      </w:pPr>
      <w:r>
        <w:rPr>
          <w:rFonts w:hint="eastAsia" w:ascii="仿宋" w:hAnsi="仿宋" w:eastAsia="仿宋" w:cs="仿宋"/>
          <w:i w:val="0"/>
          <w:caps w:val="0"/>
          <w:color w:val="333333"/>
          <w:spacing w:val="8"/>
          <w:sz w:val="28"/>
          <w:szCs w:val="28"/>
          <w:shd w:val="clear" w:fill="FFFFFF"/>
        </w:rPr>
        <w:t>在冀考察期间，河北拍协负责人还陪同上海拍协一行参观了西柏坡革命圣地，并考察了雄安新区建设，及保定拍卖行等省内企业。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tabs>
          <w:tab w:val="left" w:pos="2454"/>
        </w:tabs>
        <w:bidi w:val="0"/>
        <w:jc w:val="left"/>
        <w:rPr>
          <w:rFonts w:hint="eastAsia" w:ascii="仿宋" w:hAnsi="仿宋" w:eastAsia="仿宋" w:cs="仿宋"/>
          <w:lang w:val="en-US" w:eastAsia="zh-CN"/>
        </w:rPr>
      </w:pPr>
    </w:p>
    <w:p>
      <w:pPr>
        <w:bidi w:val="0"/>
        <w:rPr>
          <w:rFonts w:hint="eastAsia" w:asciiTheme="minorHAnsi" w:hAnsiTheme="minorHAnsi" w:eastAsiaTheme="minorEastAsia" w:cstheme="minorBidi"/>
          <w:kern w:val="2"/>
          <w:sz w:val="21"/>
          <w:szCs w:val="24"/>
          <w:lang w:val="en-US" w:eastAsia="zh-CN" w:bidi="ar-SA"/>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通知文告</w:t>
      </w:r>
    </w:p>
    <w:p>
      <w:pPr>
        <w:bidi w:val="0"/>
        <w:ind w:firstLine="498" w:firstLineChars="0"/>
        <w:jc w:val="left"/>
        <w:rPr>
          <w:rFonts w:hint="eastAsia"/>
          <w:lang w:val="en-US" w:eastAsia="zh-CN"/>
        </w:rPr>
      </w:pPr>
    </w:p>
    <w:p>
      <w:pPr>
        <w:keepNext w:val="0"/>
        <w:keepLines w:val="0"/>
        <w:widowControl/>
        <w:suppressLineNumbers w:val="0"/>
        <w:spacing w:before="0" w:beforeAutospacing="0" w:after="150" w:afterAutospacing="0" w:line="21" w:lineRule="atLeast"/>
        <w:ind w:left="0" w:right="0"/>
        <w:jc w:val="center"/>
        <w:rPr>
          <w:rFonts w:hint="eastAsia" w:ascii="仿宋" w:hAnsi="仿宋" w:eastAsia="仿宋" w:cs="仿宋"/>
          <w:sz w:val="36"/>
          <w:szCs w:val="36"/>
        </w:rPr>
      </w:pPr>
      <w:r>
        <w:rPr>
          <w:rFonts w:hint="eastAsia" w:cstheme="minorBidi"/>
          <w:kern w:val="2"/>
          <w:sz w:val="21"/>
          <w:szCs w:val="24"/>
          <w:lang w:val="en-US" w:eastAsia="zh-CN" w:bidi="ar-SA"/>
        </w:rPr>
        <w:tab/>
      </w:r>
      <w:r>
        <w:rPr>
          <w:rFonts w:hint="eastAsia" w:ascii="仿宋" w:hAnsi="仿宋" w:eastAsia="仿宋" w:cs="仿宋"/>
          <w:color w:val="333333"/>
          <w:kern w:val="0"/>
          <w:sz w:val="36"/>
          <w:szCs w:val="36"/>
          <w:lang w:val="en-US" w:eastAsia="zh-CN" w:bidi="ar"/>
        </w:rPr>
        <w:t xml:space="preserve">关于做好2018年度全国文物艺术品拍卖 </w:t>
      </w:r>
    </w:p>
    <w:p>
      <w:pPr>
        <w:keepNext w:val="0"/>
        <w:keepLines w:val="0"/>
        <w:widowControl/>
        <w:suppressLineNumbers w:val="0"/>
        <w:spacing w:before="0" w:beforeAutospacing="0" w:after="150" w:afterAutospacing="0" w:line="21" w:lineRule="atLeast"/>
        <w:ind w:left="0" w:right="0"/>
        <w:jc w:val="center"/>
        <w:rPr>
          <w:rFonts w:hint="eastAsia" w:ascii="仿宋" w:hAnsi="仿宋" w:eastAsia="仿宋" w:cs="仿宋"/>
          <w:sz w:val="36"/>
          <w:szCs w:val="36"/>
        </w:rPr>
      </w:pPr>
      <w:r>
        <w:rPr>
          <w:rFonts w:hint="eastAsia" w:ascii="仿宋" w:hAnsi="仿宋" w:eastAsia="仿宋" w:cs="仿宋"/>
          <w:color w:val="333333"/>
          <w:kern w:val="0"/>
          <w:sz w:val="36"/>
          <w:szCs w:val="36"/>
          <w:lang w:val="en-US" w:eastAsia="zh-CN" w:bidi="ar"/>
        </w:rPr>
        <w:t xml:space="preserve">专项统计工作的通知 </w:t>
      </w:r>
    </w:p>
    <w:p>
      <w:pPr>
        <w:keepNext w:val="0"/>
        <w:keepLines w:val="0"/>
        <w:widowControl/>
        <w:suppressLineNumbers w:val="0"/>
        <w:spacing w:before="0" w:beforeAutospacing="0" w:after="150" w:afterAutospacing="0" w:line="21" w:lineRule="atLeast"/>
        <w:ind w:left="0" w:right="0" w:firstLine="600"/>
        <w:jc w:val="left"/>
        <w:rPr>
          <w:rFonts w:ascii="仿宋_GB2312" w:hAnsi="仿宋_GB2312" w:eastAsia="仿宋_GB2312" w:cs="仿宋_GB2312"/>
          <w:color w:val="333333"/>
          <w:kern w:val="0"/>
          <w:sz w:val="30"/>
          <w:szCs w:val="30"/>
          <w:lang w:val="en-US" w:eastAsia="zh-CN" w:bidi="ar"/>
        </w:rPr>
      </w:pP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各文物艺术品拍卖企业：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为掌握文物艺术品拍卖企业年度经营情况,总结行业年度发展状况,促进市场健康有序，受有关部门委托，我会继续对全国文物艺术品拍卖企业开展专项统计工作，现将2018年度统计工作有关事项通知如下：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一、企业范围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（一）2018年12月31日前具有《文物拍卖许可证》的企业；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（二）2018年12月31日前具有《拍卖经营批准证书》，且2018年度内开展有艺术品专场拍卖活动的企业。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二、填报日期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2019年5月1 - 15日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三、填报要求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（一）请各省（区、市）拍卖行业协会协助我会通知本辖区内有关文物艺术品拍卖企业，并督促企业按期完成填报（填报内容见附件）。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（二）请各有关拍卖企业于规定时间内登陆中国拍卖行业协会官方网站（</w:t>
      </w:r>
      <w:r>
        <w:rPr>
          <w:rFonts w:hint="eastAsia" w:ascii="仿宋" w:hAnsi="仿宋" w:eastAsia="仿宋" w:cs="仿宋"/>
          <w:color w:val="337AB7"/>
          <w:kern w:val="0"/>
          <w:sz w:val="28"/>
          <w:szCs w:val="28"/>
          <w:u w:val="none"/>
          <w:lang w:val="en-US" w:eastAsia="zh-CN" w:bidi="ar"/>
        </w:rPr>
        <w:fldChar w:fldCharType="begin"/>
      </w:r>
      <w:r>
        <w:rPr>
          <w:rFonts w:hint="eastAsia" w:ascii="仿宋" w:hAnsi="仿宋" w:eastAsia="仿宋" w:cs="仿宋"/>
          <w:color w:val="337AB7"/>
          <w:kern w:val="0"/>
          <w:sz w:val="28"/>
          <w:szCs w:val="28"/>
          <w:u w:val="none"/>
          <w:lang w:val="en-US" w:eastAsia="zh-CN" w:bidi="ar"/>
        </w:rPr>
        <w:instrText xml:space="preserve"> HYPERLINK "http://www.caa123.org.cn" </w:instrText>
      </w:r>
      <w:r>
        <w:rPr>
          <w:rFonts w:hint="eastAsia" w:ascii="仿宋" w:hAnsi="仿宋" w:eastAsia="仿宋" w:cs="仿宋"/>
          <w:color w:val="337AB7"/>
          <w:kern w:val="0"/>
          <w:sz w:val="28"/>
          <w:szCs w:val="28"/>
          <w:u w:val="none"/>
          <w:lang w:val="en-US" w:eastAsia="zh-CN" w:bidi="ar"/>
        </w:rPr>
        <w:fldChar w:fldCharType="separate"/>
      </w:r>
      <w:r>
        <w:rPr>
          <w:rStyle w:val="14"/>
          <w:rFonts w:hint="eastAsia" w:ascii="仿宋" w:hAnsi="仿宋" w:eastAsia="仿宋" w:cs="仿宋"/>
          <w:color w:val="337AB7"/>
          <w:sz w:val="28"/>
          <w:szCs w:val="28"/>
          <w:u w:val="none"/>
        </w:rPr>
        <w:t>www.caa123.org.cn</w:t>
      </w:r>
      <w:r>
        <w:rPr>
          <w:rFonts w:hint="eastAsia" w:ascii="仿宋" w:hAnsi="仿宋" w:eastAsia="仿宋" w:cs="仿宋"/>
          <w:color w:val="337AB7"/>
          <w:kern w:val="0"/>
          <w:sz w:val="28"/>
          <w:szCs w:val="28"/>
          <w:u w:val="none"/>
          <w:lang w:val="en-US" w:eastAsia="zh-CN" w:bidi="ar"/>
        </w:rPr>
        <w:fldChar w:fldCharType="end"/>
      </w:r>
      <w:r>
        <w:rPr>
          <w:rFonts w:hint="eastAsia" w:ascii="仿宋" w:hAnsi="仿宋" w:eastAsia="仿宋" w:cs="仿宋"/>
          <w:color w:val="333333"/>
          <w:kern w:val="0"/>
          <w:sz w:val="28"/>
          <w:szCs w:val="28"/>
          <w:lang w:val="en-US" w:eastAsia="zh-CN" w:bidi="ar"/>
        </w:rPr>
        <w:t xml:space="preserve">）右上角“拍卖企业登陆”，进入“中拍协后台管理系统”后，按要求在“文物艺术品统计”中进行填报（填报流程见附件1）。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填报务必保证数据准确、完整、翔实，不得空白，不得虚假；所有要求上传之凭证需原件扫描（或拍照），图像清晰。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具备《文物拍卖许可证》的企业，即便当年未发生文物艺术品拍卖业务的，也须做“0”申报。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企业当年发生文物艺术品经营活动而未进行填报的，将按“0”处理。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四、联系方式 </w:t>
      </w:r>
    </w:p>
    <w:p>
      <w:pPr>
        <w:keepNext w:val="0"/>
        <w:keepLines w:val="0"/>
        <w:widowControl/>
        <w:suppressLineNumbers w:val="0"/>
        <w:spacing w:before="0" w:beforeAutospacing="0" w:after="150" w:afterAutospacing="0" w:line="360" w:lineRule="auto"/>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系统技术咨询：400-898-5988或QQ服务群: 942440542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填报内容咨询：庞丽方 010–64931499–8010/8009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附件：1．文物艺术品拍卖专项统计工作填报流程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2．2018年度全国文物艺术品拍卖专项统计表 </w:t>
      </w:r>
    </w:p>
    <w:p>
      <w:pPr>
        <w:keepNext w:val="0"/>
        <w:keepLines w:val="0"/>
        <w:widowControl/>
        <w:suppressLineNumbers w:val="0"/>
        <w:spacing w:before="0" w:beforeAutospacing="0" w:after="150" w:afterAutospacing="0" w:line="21" w:lineRule="atLeast"/>
        <w:ind w:left="0" w:right="0" w:firstLine="600"/>
        <w:jc w:val="lef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3．全国文物拍卖企业名单 </w:t>
      </w:r>
    </w:p>
    <w:p>
      <w:pPr>
        <w:keepNext w:val="0"/>
        <w:keepLines w:val="0"/>
        <w:widowControl/>
        <w:suppressLineNumbers w:val="0"/>
        <w:spacing w:before="0" w:beforeAutospacing="0" w:after="150" w:afterAutospacing="0" w:line="21" w:lineRule="atLeast"/>
        <w:ind w:left="0" w:right="0" w:firstLine="600"/>
        <w:jc w:val="right"/>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二0一九年四月二十二日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55" w:firstLineChars="200"/>
        <w:jc w:val="both"/>
        <w:rPr>
          <w:rStyle w:val="10"/>
          <w:rFonts w:hint="eastAsia" w:ascii="仿宋" w:hAnsi="仿宋" w:eastAsia="仿宋" w:cs="仿宋"/>
          <w:i w:val="0"/>
          <w:caps w:val="0"/>
          <w:color w:val="333333"/>
          <w:spacing w:val="8"/>
          <w:sz w:val="36"/>
          <w:szCs w:val="36"/>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55" w:firstLineChars="200"/>
        <w:jc w:val="both"/>
        <w:rPr>
          <w:rStyle w:val="10"/>
          <w:rFonts w:hint="eastAsia" w:ascii="仿宋" w:hAnsi="仿宋" w:eastAsia="仿宋" w:cs="仿宋"/>
          <w:i w:val="0"/>
          <w:caps w:val="0"/>
          <w:color w:val="333333"/>
          <w:spacing w:val="8"/>
          <w:sz w:val="36"/>
          <w:szCs w:val="36"/>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 w:hAnsi="仿宋" w:eastAsia="仿宋" w:cs="仿宋"/>
          <w:i w:val="0"/>
          <w:caps w:val="0"/>
          <w:color w:val="333333"/>
          <w:spacing w:val="8"/>
          <w:sz w:val="36"/>
          <w:szCs w:val="36"/>
        </w:rPr>
      </w:pPr>
      <w:r>
        <w:rPr>
          <w:rStyle w:val="10"/>
          <w:rFonts w:hint="eastAsia" w:ascii="仿宋" w:hAnsi="仿宋" w:eastAsia="仿宋" w:cs="仿宋"/>
          <w:i w:val="0"/>
          <w:caps w:val="0"/>
          <w:color w:val="333333"/>
          <w:spacing w:val="8"/>
          <w:sz w:val="36"/>
          <w:szCs w:val="36"/>
          <w:shd w:val="clear" w:fill="FFFFFF"/>
        </w:rPr>
        <w:t>关于2019年拍卖企业等级评估工作安排的通知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caps w:val="0"/>
          <w:color w:val="333333"/>
          <w:spacing w:val="8"/>
          <w:sz w:val="36"/>
          <w:szCs w:val="3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各省（区、市）拍卖行业协会、各拍卖企业：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根据中国拍卖行业协会关于拍卖企业等级评估管理的有关规定，结合各地拍卖企业参评的申请，经研究，定于今年3-8月份为有参评需要的拍卖企业组织开展等级评估工作。现将2019年拍卖企业等级评估工作相关安排通知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一、2019年企业评估参评条件要求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本次评估的“基准日”为2018年12月31日，评估考核期限为2017年1月1日至2018年12月31日。参评企业应符合GB/T 27968-2011“3.1.2参评企业准入条件”的要求，首次参评的拍卖企业须成立于2015年12月31日前。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本次评估申报AAA级的拍卖企业，应符合GB/T 27968-2011“4.1.1参加AAA级企业评估的基本条件”的要求并成立于2013年12月31日前。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二、2019年企业评估依据的有关文件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本次评估仍依据中国拍卖行业协会发布的《拍卖企业等级评估管理暂行办法》、《拍卖企业等级评估工作程序与规则》和国家标准《拍卖企业的等级评估与等级划分》（GB/T 27968-2011）以及“拍卖企业的等级评估与等级划分《第1号修改单》”等文件要求组织开展相关工作（上述文件请参见附件1、2、3、4）。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三、2019年企业评估工作组织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本次评估工作在中拍协拍卖企业等级评估委员会领导部署下，由中拍协拍卖企业等级评估工作办公室承办具体工作，各省（自治区、直辖市）拍卖行业协会协助配合。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四、2019年企业评估申报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拍卖企业本着自愿原则申请参与本次评估，须在中国拍卖行业协会官方网站（www.caa123.org.cn）登陆后，进入“企业等级评估管理系统”填写报送评估申报资料。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五、2019年企业评估收费标准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依据中拍协拍卖企业等级评估委员会2017年第一次全体会议决议，参评企业完成“参评条件”申报并审核通过后，应缴纳资料审核与网络服务费800元，并按照实报实销原则支付“企业现场核查阶段”产生的相关差旅费。除此之外，不再向参评企业收取其他费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Style w:val="10"/>
          <w:rFonts w:hint="eastAsia" w:ascii="仿宋" w:hAnsi="仿宋" w:eastAsia="仿宋" w:cs="仿宋"/>
          <w:i w:val="0"/>
          <w:caps w:val="0"/>
          <w:color w:val="333333"/>
          <w:spacing w:val="8"/>
          <w:sz w:val="28"/>
          <w:szCs w:val="28"/>
          <w:shd w:val="clear" w:fill="FFFFFF"/>
        </w:rPr>
        <w:t>六、2019年企业评估结果有效期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2019年拍卖企业等级评估结果的有效期为三年。本次评估完成后，自2022年起，评委会将依据《拍卖企业等级评估复评实施办法》对不提出升级要求的拍卖企业，按照复评制度进行动态管理。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caps w:val="0"/>
          <w:color w:val="333333"/>
          <w:spacing w:val="8"/>
          <w:sz w:val="28"/>
          <w:szCs w:val="2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评估相关事宜，请咨询评估工作办公室（“评估办”）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联系人：赵晶、王焯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电  话：64931466转8006、8007</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电  邮：pingguban@caa123.org.cn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评估申报技术问题，请咨询中拍协网络服务部。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联系人：魏茂乾、张菁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电  话：64935090 、64935615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电  邮：maoqian@caa123.org.cn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附件：2019年拍卖企业等级评估工作安排、企业等级评估使用手册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附件1：《拍卖企业等级评估管理暂行办法》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附件2：《拍卖企业等级评估工作程序与规则（修订稿）》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附件3：《拍卖企业的等级评估与等级划分》（GB/T 27968-2011）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附件4：拍卖企业的等级评估与等级划分《第1号标准修改单》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032" w:firstLineChars="1700"/>
        <w:jc w:val="left"/>
        <w:rPr>
          <w:rFonts w:hint="eastAsia" w:ascii="仿宋" w:hAnsi="仿宋" w:eastAsia="仿宋" w:cs="仿宋"/>
          <w:i w:val="0"/>
          <w:caps w:val="0"/>
          <w:color w:val="333333"/>
          <w:spacing w:val="8"/>
          <w:sz w:val="28"/>
          <w:szCs w:val="28"/>
        </w:rPr>
      </w:pPr>
      <w:r>
        <w:rPr>
          <w:rFonts w:hint="eastAsia" w:ascii="仿宋" w:hAnsi="仿宋" w:eastAsia="仿宋" w:cs="仿宋"/>
          <w:i w:val="0"/>
          <w:caps w:val="0"/>
          <w:color w:val="333333"/>
          <w:spacing w:val="8"/>
          <w:sz w:val="28"/>
          <w:szCs w:val="28"/>
          <w:shd w:val="clear" w:fill="FFFFFF"/>
          <w:lang w:val="en-US" w:eastAsia="zh-CN"/>
        </w:rPr>
        <w:t xml:space="preserve"> </w:t>
      </w:r>
      <w:r>
        <w:rPr>
          <w:rFonts w:hint="eastAsia" w:ascii="仿宋" w:hAnsi="仿宋" w:eastAsia="仿宋" w:cs="仿宋"/>
          <w:i w:val="0"/>
          <w:caps w:val="0"/>
          <w:color w:val="333333"/>
          <w:spacing w:val="8"/>
          <w:sz w:val="28"/>
          <w:szCs w:val="28"/>
          <w:shd w:val="clear" w:fill="FFFFFF"/>
        </w:rPr>
        <w:t>二○一九年三月五日</w:t>
      </w:r>
    </w:p>
    <w:p>
      <w:pPr>
        <w:tabs>
          <w:tab w:val="left" w:pos="2660"/>
        </w:tabs>
        <w:bidi w:val="0"/>
        <w:jc w:val="left"/>
        <w:rPr>
          <w:rFonts w:hint="eastAsia" w:ascii="仿宋" w:hAnsi="仿宋" w:eastAsia="仿宋" w:cs="仿宋"/>
          <w:b/>
          <w:bCs/>
          <w:sz w:val="28"/>
          <w:szCs w:val="28"/>
          <w:bdr w:val="single" w:color="auto" w:sz="4" w:space="0"/>
          <w:lang w:val="en-US" w:eastAsia="zh-CN"/>
        </w:rPr>
      </w:pPr>
    </w:p>
    <w:p>
      <w:pPr>
        <w:tabs>
          <w:tab w:val="left" w:pos="2660"/>
        </w:tabs>
        <w:bidi w:val="0"/>
        <w:jc w:val="left"/>
        <w:rPr>
          <w:rFonts w:hint="eastAsia" w:ascii="仿宋" w:hAnsi="仿宋" w:eastAsia="仿宋" w:cs="仿宋_GB2312"/>
          <w:b/>
          <w:bCs/>
          <w:sz w:val="44"/>
          <w:szCs w:val="44"/>
          <w:bdr w:val="single" w:color="auto" w:sz="4" w:space="0"/>
          <w:lang w:val="en-US" w:eastAsia="zh-CN"/>
        </w:rPr>
      </w:pPr>
    </w:p>
    <w:p>
      <w:pPr>
        <w:tabs>
          <w:tab w:val="left" w:pos="2660"/>
        </w:tabs>
        <w:bidi w:val="0"/>
        <w:jc w:val="lef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政策解读</w:t>
      </w:r>
    </w:p>
    <w:p>
      <w:pPr>
        <w:tabs>
          <w:tab w:val="left" w:pos="2660"/>
        </w:tabs>
        <w:bidi w:val="0"/>
        <w:jc w:val="lef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2101" w:firstLineChars="500"/>
        <w:rPr>
          <w:rFonts w:hint="default" w:ascii="Arial" w:hAnsi="Arial" w:eastAsia="Arial" w:cs="Arial"/>
          <w:b/>
          <w:i w:val="0"/>
          <w:caps w:val="0"/>
          <w:color w:val="191919"/>
          <w:spacing w:val="0"/>
          <w:sz w:val="42"/>
          <w:szCs w:val="42"/>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right="0" w:firstLine="1261" w:firstLineChars="300"/>
        <w:rPr>
          <w:rFonts w:hint="eastAsia" w:ascii="Arial" w:hAnsi="Arial" w:eastAsia="Arial" w:cs="Arial"/>
          <w:b/>
          <w:i w:val="0"/>
          <w:caps w:val="0"/>
          <w:color w:val="191919"/>
          <w:spacing w:val="0"/>
          <w:sz w:val="42"/>
          <w:szCs w:val="42"/>
        </w:rPr>
      </w:pPr>
      <w:r>
        <w:rPr>
          <w:rFonts w:hint="default" w:ascii="Arial" w:hAnsi="Arial" w:eastAsia="Arial" w:cs="Arial"/>
          <w:b/>
          <w:i w:val="0"/>
          <w:caps w:val="0"/>
          <w:color w:val="191919"/>
          <w:spacing w:val="0"/>
          <w:sz w:val="42"/>
          <w:szCs w:val="42"/>
          <w:shd w:val="clear" w:fill="FFFFFF"/>
        </w:rPr>
        <w:t>新农村土地承包法的七大要点</w:t>
      </w:r>
    </w:p>
    <w:p>
      <w:pPr>
        <w:tabs>
          <w:tab w:val="left" w:pos="2660"/>
        </w:tabs>
        <w:bidi w:val="0"/>
        <w:jc w:val="left"/>
        <w:rPr>
          <w:rFonts w:hint="default" w:ascii="仿宋" w:hAnsi="仿宋" w:eastAsia="仿宋" w:cs="仿宋_GB2312"/>
          <w:b/>
          <w:bCs/>
          <w:sz w:val="44"/>
          <w:szCs w:val="44"/>
          <w:bdr w:val="single" w:color="auto" w:sz="4" w:space="0"/>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lang w:val="en-US" w:eastAsia="zh-CN"/>
        </w:rPr>
        <w:t>12月</w:t>
      </w:r>
      <w:r>
        <w:rPr>
          <w:rFonts w:hint="eastAsia" w:ascii="仿宋" w:hAnsi="仿宋" w:eastAsia="仿宋" w:cs="仿宋"/>
          <w:i w:val="0"/>
          <w:caps w:val="0"/>
          <w:color w:val="191919"/>
          <w:spacing w:val="0"/>
          <w:sz w:val="28"/>
          <w:szCs w:val="28"/>
          <w:shd w:val="clear" w:fill="FFFFFF"/>
        </w:rPr>
        <w:t>29日下午，十三届全国人大常委会第七次会议举行了闭幕会。会议应到174人，出席171人，符合法定人数。会议以170票赞成、1票弃权，表决通过了关于修改农村土地承包法的决定。农村土地“三权分置”制度正式确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会后，全国人大农业与农村委员会办公室主任何宝玉、全国人大常委会法工委民法室副主任杜涛、农业农村部政策与改革司副巡视员孙邦群出席发布会，共同回答与这部法律案有关的问题。</w:t>
      </w:r>
    </w:p>
    <w:p>
      <w:pPr>
        <w:tabs>
          <w:tab w:val="left" w:pos="2660"/>
        </w:tabs>
        <w:bidi w:val="0"/>
        <w:jc w:val="left"/>
        <w:rPr>
          <w:rStyle w:val="10"/>
          <w:rFonts w:hint="eastAsia" w:ascii="仿宋" w:hAnsi="仿宋" w:eastAsia="仿宋" w:cs="仿宋"/>
          <w:b/>
          <w:i w:val="0"/>
          <w:caps w:val="0"/>
          <w:color w:val="191919"/>
          <w:spacing w:val="0"/>
          <w:sz w:val="28"/>
          <w:szCs w:val="28"/>
          <w:shd w:val="clear" w:fill="FFFFFF"/>
          <w:lang w:val="en-US" w:eastAsia="zh-CN"/>
        </w:rPr>
      </w:pPr>
    </w:p>
    <w:p>
      <w:pPr>
        <w:numPr>
          <w:ilvl w:val="0"/>
          <w:numId w:val="1"/>
        </w:numPr>
        <w:tabs>
          <w:tab w:val="left" w:pos="2660"/>
        </w:tabs>
        <w:bidi w:val="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rPr>
        <w:t>为什么要修改农村土地承包法，这次修法有哪些重要意义？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840" w:firstLineChars="3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全国人大农业与农村委员会办公室主任何宝玉表示，近些年来，随着我国经济社会的发展，农业农村取得了一些新进展，出现了一些新情况和新问题。党中央对“三农”工作，特别是农村土地制度改革做出了一些新的部署，要求对农村土地承包法进行修改。具体来说，我们这次修改法律主要是基于三个方面考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第一，适应新时代农业农村改革发展的客观要求。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随着我国工业化、城镇化信息化的迅速推进和农村经济社会的迅速发展，农村也出现了一些新情况。越来越多的农民，特别是青壮年农民进城务工，承包土地流转加速，流转面积不断扩大，现在流转的承包地面积已经超过了三分之一，家庭农场、各种农民专业合作社还有农业产业化农村龙头企业等一些新型经营主体大量涌现，农民规模化经营水平不断提高。这次修改农村土地承包法，主要就是为了将农村土地实行“三权分置”的制度法制化，以更有效地保障农村集体经济组织和承包农户的合法权益，同时也更有利于促进现代农业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第二，把党对新时代农业农村工作的一些重大部署和方针政策转化为法律。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党的十八大以来，针对农业农村的新情况、新发展、新问题，以习近平同志为核心的党中央对于稳定和完善农村基本经营制度，深化农村集体土地制度改革等提出了一系列的方针政策，作出了重大安排部署。习总书记就“三农”工作作出了重要论述和指示，需要及时地转化为法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第三，总结和确认地方实践探索和创新的经验，并上升为法律。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这些年来，不少地方在进一步深化农村改革，特别是农村土地制度改革的过程中不断地探索创新，积累了宝贵的经验，需要及时加以总结，并且把实践证明行之有效的经验上升为法律，更好地规范和指导农村改革发展。</w:t>
      </w:r>
    </w:p>
    <w:p>
      <w:pPr>
        <w:numPr>
          <w:ilvl w:val="0"/>
          <w:numId w:val="1"/>
        </w:numPr>
        <w:tabs>
          <w:tab w:val="left" w:pos="2660"/>
        </w:tabs>
        <w:bidi w:val="0"/>
        <w:ind w:left="0" w:leftChars="0" w:firstLine="0" w:firstLineChars="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rPr>
        <w:t>对保护进城农户的土地承包经营权，做了哪些新的规定？</w:t>
      </w:r>
    </w:p>
    <w:p>
      <w:pPr>
        <w:numPr>
          <w:ilvl w:val="0"/>
          <w:numId w:val="0"/>
        </w:numPr>
        <w:tabs>
          <w:tab w:val="left" w:pos="2660"/>
        </w:tabs>
        <w:bidi w:val="0"/>
        <w:ind w:leftChars="0"/>
        <w:jc w:val="left"/>
        <w:rPr>
          <w:rStyle w:val="10"/>
          <w:rFonts w:hint="eastAsia" w:ascii="仿宋" w:hAnsi="仿宋" w:eastAsia="仿宋" w:cs="仿宋"/>
          <w:b/>
          <w:i w:val="0"/>
          <w:caps w:val="0"/>
          <w:color w:val="191919"/>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何宝玉认为，承包期内不得随意调整农民的承包地，不得随意收回农民的承包地，是农村土地承包法的核心内容。农村土地承包法第26条和第27条（修改后是第27条、第28条），这是农村土地承包法修改的两个核心条款。稳定农村土地承包关系，保护农民的土地承包经营权，很重要的一点，就是发包方在承包期内不得随意收回承包地，使广大农民真正地感到土地承包经营权是有切实保障的。否则，如果发包方可以随便收回承包地，稳定的土地承包关系就无从谈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这次修改农村土地承包法是保护进城农户的土地承包经营权，作了两个修改。一个是农民进城以前，不得以农户退出土地承包经营权作为农户进城落户的条件。一个是删除了要求进城农户交回承包地、不交回就收回的规定，修改为由进城农户自主选择如何处分土地承包经营权，可以按照自愿有偿原则，依法将土地承包经营权转让给本集体经济组织其他农户，也可以自愿有偿地将承包地交回发包方，也可以流转土地经营权。</w:t>
      </w:r>
    </w:p>
    <w:p>
      <w:pPr>
        <w:numPr>
          <w:ilvl w:val="0"/>
          <w:numId w:val="1"/>
        </w:numPr>
        <w:tabs>
          <w:tab w:val="left" w:pos="2660"/>
        </w:tabs>
        <w:bidi w:val="0"/>
        <w:ind w:left="0" w:leftChars="0" w:firstLine="0" w:firstLineChars="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rPr>
        <w:t>修改后的法律，如何体现三权分置？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全国人大常委会法工委民法室副主任杜涛认为，确实落实承包地的“三权分置”，是这次修改农村土地承包法的主要任务。我们说的“三权分置”，针对的是农村集体经济组织内部的家庭承包方式而进行的一个制度设计。农村的土地归农民集体所有，这个是说的所有权，对这个问题，土地管理法和物权法都有明确规定。农村集体经济组织成员有权依法承包由本集体经济组织发包的农村土地，这句话讲的是农村土地的承包经营权，也就是承包以后，就享有了土地承包经营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杜涛表示，三权分置的设想，是承包的农户承包土地以后，不但可以在本集体经济组织内部转让承包地，还可以向外部的受让人流转承包地，而且流转以后，要使受让人获得权利保障，可以有利于促进适度规模经营，进一步发挥农村土地资源的效率，也有利于增加农民的财产收入，同时还要使转让土地经营权的承包户不失去权利的保障。这就需要在土地承包经营权的基础上，再设计一个由流转的受让人享有的权利。这个权利就是这次修改后新增加的土地经营权，是“三权分置”中的第三个权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前面说了前两个权利是现在都有的，土地所有权，土地承包经营权，这次在修改后的农村土地承包法中，又新设了一个土地经营权制度。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修改后的农村土地承包法对于土地经营权的制度设计，主要包括几个方面：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2" w:firstLineChars="20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一是在总则第9条中，提出了土地经营权的概念，同时也表达了整个制度设计的理论基础。</w:t>
      </w:r>
      <w:r>
        <w:rPr>
          <w:rFonts w:hint="eastAsia" w:ascii="仿宋" w:hAnsi="仿宋" w:eastAsia="仿宋" w:cs="仿宋"/>
          <w:i w:val="0"/>
          <w:caps w:val="0"/>
          <w:color w:val="191919"/>
          <w:spacing w:val="0"/>
          <w:sz w:val="28"/>
          <w:szCs w:val="28"/>
          <w:shd w:val="clear" w:fill="FFFFFF"/>
        </w:rPr>
        <w:t>这个理论基础就是承包方既可以自己经营，有也可以流转其承包地的土地经营权，由他人经营。流转承包地的土地经营权，就是由他人经营的一个实现方式，我们在第9条中作了一个基本的规定，出来了土地经营权的概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2" w:firstLineChars="20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第二个关于流转的方式。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修改后的农村土地承包法第36条规定，承包方可以自主决定依法采取出租（转包）、入股或者其他的方式，向他人流转土地经营权，并向发包方备案。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2" w:firstLineChars="20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第三，关于土地经营权的登记。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修改后的法律第41条规定“土地经营权流转期限为五年以上的，当事人可以向登记机构申请土地经营权登记，未经登记，不得对抗善意第三人”，关于登记的规定，同时在法律上也是一个关于土地经营权物权效力的表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第四，关于土地经营权的融资担保，依照新修改后的法律第47条规定，一个方面，承包方可以用承包地的土地经营权向金融机构融资担保，就是承包方自己就可以用土地承包经营权向金融机构融资担保。另一方面，土地经营权流转的受让方，通过流转取得的土地经营权，经过承包方的书面同意并向发包方备案，也可以向金融机构融资担保。融资担保以后，就发生了担保物权的效力。当事人就可以向登记机构申请登记。作为担保物权人的金融机构，有权就土地经营权优先受偿。</w:t>
      </w:r>
    </w:p>
    <w:p>
      <w:pPr>
        <w:numPr>
          <w:ilvl w:val="0"/>
          <w:numId w:val="0"/>
        </w:numPr>
        <w:tabs>
          <w:tab w:val="left" w:pos="2660"/>
        </w:tabs>
        <w:bidi w:val="0"/>
        <w:ind w:leftChars="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lang w:val="en-US" w:eastAsia="zh-CN"/>
        </w:rPr>
        <w:t>4、</w:t>
      </w:r>
      <w:r>
        <w:rPr>
          <w:rStyle w:val="10"/>
          <w:rFonts w:hint="eastAsia" w:ascii="仿宋" w:hAnsi="仿宋" w:eastAsia="仿宋" w:cs="仿宋"/>
          <w:b/>
          <w:i w:val="0"/>
          <w:caps w:val="0"/>
          <w:color w:val="191919"/>
          <w:spacing w:val="0"/>
          <w:sz w:val="28"/>
          <w:szCs w:val="28"/>
          <w:shd w:val="clear" w:fill="FFFFFF"/>
        </w:rPr>
        <w:t>如何打消农民没有土地，就失去一切的忧虑？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农业农村部政策与改革司副巡视员孙邦群表示，这个问题涉及到土地流转，从土地流转来说，从中央制度安排来说，叫落实所有权，稳定承包权，放活经营权。这个制度创新已经体现在这次修法上。所以从农民的角度来说，不存在流转了之后土地就失去了。从中央的要求，到法律的规定，包括我们在实践过程中用了五年时间在全国对农民承包经营权做了确权登记颁证，目的是让农民能够拿到稳定的承包经营权。承包经营权是农民的，是物权。稳定承包经营权之后，农民可以按照自己的意愿来进行有计划地流转，也可以入股，也可以退出，也可以互换。这是中央所要求的，在保护所有权和承包权的前提下，平等保护农民的土地经营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此外，为了平等保护经营权，相关的部门推出了一系列的措施，包括流转市场规范化建设，这次根据新修订的土地承包法相关精神，将进一步完善流转市场管理办法。另一方面，农民的顾虑还与对流转合同的条款规定不是太清楚有关，下一步我们准备推出全国标准的土地经营权的流转合同文本，进一步规范合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所以，农民在土地流转过程中不存在流转了土地，土地就失去的问题。</w:t>
      </w:r>
    </w:p>
    <w:p>
      <w:pPr>
        <w:numPr>
          <w:ilvl w:val="0"/>
          <w:numId w:val="0"/>
        </w:numPr>
        <w:tabs>
          <w:tab w:val="left" w:pos="2660"/>
        </w:tabs>
        <w:bidi w:val="0"/>
        <w:ind w:leftChars="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lang w:val="en-US" w:eastAsia="zh-CN"/>
        </w:rPr>
        <w:t>5、</w:t>
      </w:r>
      <w:r>
        <w:rPr>
          <w:rStyle w:val="10"/>
          <w:rFonts w:hint="eastAsia" w:ascii="仿宋" w:hAnsi="仿宋" w:eastAsia="仿宋" w:cs="仿宋"/>
          <w:b/>
          <w:i w:val="0"/>
          <w:caps w:val="0"/>
          <w:color w:val="191919"/>
          <w:spacing w:val="0"/>
          <w:sz w:val="28"/>
          <w:szCs w:val="28"/>
          <w:shd w:val="clear" w:fill="FFFFFF"/>
        </w:rPr>
        <w:t>对农村土地承包法，还做了哪些重要修改和补充？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全国人大常委会法工委民法室副主任杜涛表示，实行家庭承包经营为基础、统分结合的双层经营体制，是我国改革开放历史新时期的重要的标志性举措，也是宪法规定的我国的农村基本经营制度。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这次修改农村土地承包法，就是为了在新时期适应发展的需要，把中央精神和实践经验，转化为法律规范。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简而言之，实际上就是在原来的集体土地所有权，土地承包经营权的基础上，又从土地承包经营权中分离出一个土地经营权。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关于承包期的延长。党的十九大报告提出，保持土地承包关系稳定并长久不变，第二轮土地承包到期后再延长三十年，这次修改农村土地承包法就要把这个中央精神落实为法律规范。修改后的法律规定，耕地的承包期届满后再延长三十年。同时，考虑到土地承包关系除了耕地还包括草地和林地，这次也同时规定，草地和林地的承包期届满后，再现有基础上相应延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这次修改农村土地承包法，重要的修改了保护农村妇女的土地承包经营权，其实修改前的农村土地承包法，就很注重保护农村妇女的承包经营权。比如说规定了农村土地承包，妇女与男子享有平等的权利，承包中应当保护妇女的合法权益，任何组织和个人不得剥夺、侵害妇女应当享有的土地承包经营权。这是现行法的规定。现行法还规定，不得因为妇女婚姻状况的变更而损害其土地承包经营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这次修改后的农村土地承包法又新增加了两项规定，一是规定承包农户内家庭成员依法平等享有承包土地的各项权益。二是土地承包经营权证和林权证，这些证书应当将具有土地承包经营权的全部家庭成员列入。这两项新增加的规定，实际主要的考虑也是关于保护农村妇女的土地承包经营权。</w:t>
      </w:r>
    </w:p>
    <w:p>
      <w:pPr>
        <w:numPr>
          <w:ilvl w:val="0"/>
          <w:numId w:val="2"/>
        </w:numPr>
        <w:tabs>
          <w:tab w:val="left" w:pos="2660"/>
        </w:tabs>
        <w:bidi w:val="0"/>
        <w:ind w:leftChars="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rPr>
        <w:t>对于新法落地，农业农村部有哪些具体举措？</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农业农村部政策与改革司副巡视员孙邦群表示，围绕着新修订的内容，我们落实新修订的农村土地承包法，近期主要是抓两个方面：</w:t>
      </w:r>
      <w:r>
        <w:rPr>
          <w:rFonts w:hint="eastAsia" w:ascii="仿宋" w:hAnsi="仿宋" w:eastAsia="仿宋" w:cs="仿宋"/>
          <w:i w:val="0"/>
          <w:caps w:val="0"/>
          <w:color w:val="191919"/>
          <w:spacing w:val="0"/>
          <w:sz w:val="28"/>
          <w:szCs w:val="28"/>
          <w:shd w:val="clear" w:fill="FFFFFF"/>
          <w:lang w:val="en-US" w:eastAsia="zh-CN"/>
        </w:rPr>
        <w:t xml:space="preserve"> </w:t>
      </w:r>
      <w:r>
        <w:rPr>
          <w:rFonts w:hint="eastAsia" w:ascii="仿宋" w:hAnsi="仿宋" w:eastAsia="仿宋" w:cs="仿宋"/>
          <w:i w:val="0"/>
          <w:caps w:val="0"/>
          <w:color w:val="191919"/>
          <w:spacing w:val="0"/>
          <w:sz w:val="28"/>
          <w:szCs w:val="28"/>
          <w:shd w:val="clear" w:fill="FFFFFF"/>
        </w:rPr>
        <w:t>第一，大力宣传新修订的农村土地承包法。一些新的内容、新的重点要让老百姓知道，让从事这项工作的党政领导学通弄懂。为了做到这一点，一是我们抓紧对新法进行一些释义，要和全国人大相关部门抓紧研究，做一个标准的法律释义。二是要通过各种媒体、多种方式把法的精神向农民宣传，让农民能够做到家喻户晓，按照土地承包法维护自己的权益。在宣传的同时，我们还计划，要开展培训，特别是从事这项工作的各级党政领导，以及土地承包管理的一些人员，要进行一些有组织的培训，这是明年的一项重点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此外，根据新修订的法律，要尽快出台一些配套的政策措施。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2" w:firstLineChars="20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第一个方面，农民还有担心，还有顾虑，在稳定承包权上，做好我们农村承包地确权登记的一些收尾工作。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这项工作历时五年，到2018年底基本完成，在基本完成的基础上，还有一些收尾，真正给农民确实权、颁铁证，这项工作要继续做好做实。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2" w:firstLineChars="200"/>
        <w:jc w:val="left"/>
        <w:rPr>
          <w:rFonts w:hint="eastAsia" w:ascii="仿宋" w:hAnsi="仿宋" w:eastAsia="仿宋" w:cs="仿宋"/>
          <w:i w:val="0"/>
          <w:caps w:val="0"/>
          <w:color w:val="191919"/>
          <w:spacing w:val="0"/>
          <w:sz w:val="28"/>
          <w:szCs w:val="28"/>
        </w:rPr>
      </w:pPr>
      <w:r>
        <w:rPr>
          <w:rStyle w:val="10"/>
          <w:rFonts w:hint="eastAsia" w:ascii="仿宋" w:hAnsi="仿宋" w:eastAsia="仿宋" w:cs="仿宋"/>
          <w:b/>
          <w:i w:val="0"/>
          <w:caps w:val="0"/>
          <w:color w:val="191919"/>
          <w:spacing w:val="0"/>
          <w:sz w:val="28"/>
          <w:szCs w:val="28"/>
          <w:shd w:val="clear" w:fill="FFFFFF"/>
        </w:rPr>
        <w:t>第二个方面，这部法律规定的要建立工商企业等社会资本通过流转取得土地经营权的资格审查、项目审核和风险防范制度，这个制度要具体出台办法，规范工商资本到农村去租地的行为。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同时，结合法律的要求和规定，在第二轮土地承包到期后再延长三十年，这也是十九大习总书记宣布的，这方面我们要研究具体的配套政策和拿出具体的衔接办法。</w:t>
      </w:r>
    </w:p>
    <w:p>
      <w:pPr>
        <w:numPr>
          <w:ilvl w:val="0"/>
          <w:numId w:val="2"/>
        </w:numPr>
        <w:tabs>
          <w:tab w:val="left" w:pos="2660"/>
        </w:tabs>
        <w:bidi w:val="0"/>
        <w:ind w:left="0" w:leftChars="0" w:firstLine="0" w:firstLineChars="0"/>
        <w:jc w:val="left"/>
        <w:rPr>
          <w:rStyle w:val="10"/>
          <w:rFonts w:hint="eastAsia" w:ascii="仿宋" w:hAnsi="仿宋" w:eastAsia="仿宋" w:cs="仿宋"/>
          <w:b/>
          <w:i w:val="0"/>
          <w:caps w:val="0"/>
          <w:color w:val="191919"/>
          <w:spacing w:val="0"/>
          <w:sz w:val="28"/>
          <w:szCs w:val="28"/>
          <w:shd w:val="clear" w:fill="FFFFFF"/>
        </w:rPr>
      </w:pPr>
      <w:r>
        <w:rPr>
          <w:rStyle w:val="10"/>
          <w:rFonts w:hint="eastAsia" w:ascii="仿宋" w:hAnsi="仿宋" w:eastAsia="仿宋" w:cs="仿宋"/>
          <w:b/>
          <w:i w:val="0"/>
          <w:caps w:val="0"/>
          <w:color w:val="191919"/>
          <w:spacing w:val="0"/>
          <w:sz w:val="28"/>
          <w:szCs w:val="28"/>
          <w:shd w:val="clear" w:fill="FFFFFF"/>
        </w:rPr>
        <w:t>修订后的农村土地承包法，对妇女权益如何保障？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农业农村部政策与改革司副巡视员孙邦群表示，我国实行土地集体所有，采取的是集体经济组织内部家庭承包方式，承包家庭的成员平等地享有承包土地的各项权益。无论是妇女，无论是小孩，无论是老人，都要平等地享有土地的各项权益。修订后的土地承包法特别体现了这条，这也是对妇女权益保护的一种强调。同时，也保留原法的条款。比如说第6条，农村土地承包，妇女与男子享有平等的权利，承包中应当保护妇女的合法权益，任何组织和个人，不得剥夺侵害妇女应当享有的土地承包经营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560" w:firstLineChars="200"/>
        <w:jc w:val="left"/>
        <w:rPr>
          <w:rFonts w:hint="eastAsia" w:ascii="仿宋" w:hAnsi="仿宋" w:eastAsia="仿宋" w:cs="仿宋"/>
          <w:i w:val="0"/>
          <w:caps w:val="0"/>
          <w:color w:val="191919"/>
          <w:spacing w:val="0"/>
          <w:sz w:val="28"/>
          <w:szCs w:val="28"/>
        </w:rPr>
      </w:pPr>
      <w:r>
        <w:rPr>
          <w:rFonts w:hint="eastAsia" w:ascii="仿宋" w:hAnsi="仿宋" w:eastAsia="仿宋" w:cs="仿宋"/>
          <w:i w:val="0"/>
          <w:caps w:val="0"/>
          <w:color w:val="191919"/>
          <w:spacing w:val="0"/>
          <w:sz w:val="28"/>
          <w:szCs w:val="28"/>
          <w:shd w:val="clear" w:fill="FFFFFF"/>
        </w:rPr>
        <w:t>妇女结婚，新居住地未取得承包地的，发包方不能收回其原承包地，妇女离婚、丧偶，仍在原居住地生活，或不在原居住地生活，但在新居住地没取得承包地的，发包方也不能收回她的承包地。这些规定都是对妇女承包经营权加强了保护。第一，在娘家的地不能收回。第二，在婆家如果没分到地的时候，更不能收回。从这个角度来说，妇女的权益更加得到了保护。</w:t>
      </w:r>
    </w:p>
    <w:p>
      <w:pPr>
        <w:numPr>
          <w:ilvl w:val="0"/>
          <w:numId w:val="0"/>
        </w:numPr>
        <w:tabs>
          <w:tab w:val="left" w:pos="2660"/>
        </w:tabs>
        <w:bidi w:val="0"/>
        <w:ind w:leftChars="0"/>
        <w:jc w:val="left"/>
        <w:rPr>
          <w:rStyle w:val="10"/>
          <w:rFonts w:hint="eastAsia" w:ascii="仿宋" w:hAnsi="仿宋" w:eastAsia="仿宋" w:cs="仿宋"/>
          <w:b/>
          <w:i w:val="0"/>
          <w:caps w:val="0"/>
          <w:color w:val="191919"/>
          <w:spacing w:val="0"/>
          <w:sz w:val="28"/>
          <w:szCs w:val="28"/>
          <w:shd w:val="clear" w:fill="FFFFFF"/>
          <w:lang w:val="en-US" w:eastAsia="zh-CN"/>
        </w:rPr>
      </w:pPr>
    </w:p>
    <w:p>
      <w:pPr>
        <w:tabs>
          <w:tab w:val="left" w:pos="6484"/>
        </w:tabs>
        <w:bidi w:val="0"/>
        <w:ind w:firstLine="5622" w:firstLineChars="2000"/>
        <w:jc w:val="left"/>
        <w:rPr>
          <w:rStyle w:val="10"/>
          <w:rFonts w:hint="eastAsia" w:ascii="仿宋" w:hAnsi="仿宋" w:eastAsia="仿宋" w:cs="仿宋"/>
          <w:b/>
          <w:i w:val="0"/>
          <w:caps w:val="0"/>
          <w:color w:val="191919"/>
          <w:spacing w:val="0"/>
          <w:sz w:val="28"/>
          <w:szCs w:val="28"/>
          <w:shd w:val="clear" w:fill="FFFFFF"/>
          <w:lang w:val="en-US" w:eastAsia="zh-CN"/>
        </w:rPr>
      </w:pPr>
      <w:r>
        <w:rPr>
          <w:rStyle w:val="10"/>
          <w:rFonts w:hint="eastAsia" w:ascii="仿宋" w:hAnsi="仿宋" w:eastAsia="仿宋" w:cs="仿宋"/>
          <w:b/>
          <w:i w:val="0"/>
          <w:caps w:val="0"/>
          <w:color w:val="191919"/>
          <w:spacing w:val="0"/>
          <w:sz w:val="28"/>
          <w:szCs w:val="28"/>
          <w:shd w:val="clear" w:fill="FFFFFF"/>
          <w:lang w:val="en-US" w:eastAsia="zh-CN"/>
        </w:rPr>
        <w:t>来源；土地资源网</w:t>
      </w:r>
    </w:p>
    <w:p>
      <w:pPr>
        <w:tabs>
          <w:tab w:val="left" w:pos="6484"/>
        </w:tabs>
        <w:bidi w:val="0"/>
        <w:ind w:firstLine="5622" w:firstLineChars="2000"/>
        <w:jc w:val="left"/>
        <w:rPr>
          <w:rStyle w:val="10"/>
          <w:rFonts w:hint="eastAsia" w:ascii="仿宋" w:hAnsi="仿宋" w:eastAsia="仿宋" w:cs="仿宋"/>
          <w:b/>
          <w:i w:val="0"/>
          <w:caps w:val="0"/>
          <w:color w:val="191919"/>
          <w:spacing w:val="0"/>
          <w:sz w:val="28"/>
          <w:szCs w:val="28"/>
          <w:shd w:val="clear" w:fill="FFFFFF"/>
          <w:lang w:val="en-US" w:eastAsia="zh-CN"/>
        </w:rPr>
      </w:pPr>
    </w:p>
    <w:p>
      <w:pPr>
        <w:tabs>
          <w:tab w:val="left" w:pos="425"/>
        </w:tabs>
        <w:bidi w:val="0"/>
        <w:jc w:val="lef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拍卖论坛</w:t>
      </w:r>
    </w:p>
    <w:p>
      <w:pPr>
        <w:bidi w:val="0"/>
        <w:rPr>
          <w:rFonts w:hint="eastAsia" w:asciiTheme="minorHAnsi" w:hAnsiTheme="minorHAnsi" w:eastAsiaTheme="minorEastAsia" w:cstheme="minorBidi"/>
          <w:kern w:val="2"/>
          <w:sz w:val="21"/>
          <w:szCs w:val="24"/>
          <w:lang w:val="en-US" w:eastAsia="zh-CN" w:bidi="ar-SA"/>
        </w:rPr>
      </w:pPr>
    </w:p>
    <w:p>
      <w:pPr>
        <w:tabs>
          <w:tab w:val="left" w:pos="2587"/>
        </w:tabs>
        <w:bidi w:val="0"/>
        <w:jc w:val="left"/>
        <w:rPr>
          <w:rFonts w:hint="eastAsia"/>
          <w:lang w:val="en-US" w:eastAsia="zh-CN"/>
        </w:rPr>
      </w:pPr>
      <w:r>
        <w:rPr>
          <w:rFonts w:hint="eastAsia"/>
          <w:lang w:val="en-US" w:eastAsia="zh-CN"/>
        </w:rPr>
        <w:tab/>
      </w:r>
    </w:p>
    <w:p>
      <w:pPr>
        <w:tabs>
          <w:tab w:val="left" w:pos="2587"/>
        </w:tabs>
        <w:bidi w:val="0"/>
        <w:jc w:val="left"/>
        <w:rPr>
          <w:rFonts w:hint="eastAsia"/>
          <w:lang w:val="en-US" w:eastAsia="zh-CN"/>
        </w:rPr>
      </w:pPr>
    </w:p>
    <w:p>
      <w:pPr>
        <w:tabs>
          <w:tab w:val="left" w:pos="2587"/>
        </w:tabs>
        <w:bidi w:val="0"/>
        <w:jc w:val="left"/>
        <w:rPr>
          <w:rFonts w:hint="eastAsia"/>
          <w:lang w:val="en-US" w:eastAsia="zh-CN"/>
        </w:rPr>
      </w:pPr>
    </w:p>
    <w:p>
      <w:pPr>
        <w:tabs>
          <w:tab w:val="left" w:pos="2587"/>
        </w:tabs>
        <w:bidi w:val="0"/>
        <w:jc w:val="left"/>
        <w:rPr>
          <w:rFonts w:hint="eastAsia" w:ascii="仿宋" w:hAnsi="仿宋" w:eastAsia="仿宋" w:cs="仿宋"/>
          <w:sz w:val="36"/>
          <w:szCs w:val="36"/>
          <w:lang w:val="en-US" w:eastAsia="zh-CN"/>
        </w:rPr>
      </w:pPr>
      <w:r>
        <w:rPr>
          <w:rFonts w:hint="eastAsia"/>
          <w:lang w:val="en-US" w:eastAsia="zh-CN"/>
        </w:rPr>
        <w:t xml:space="preserve">                    </w:t>
      </w:r>
      <w:r>
        <w:rPr>
          <w:rFonts w:hint="eastAsia" w:ascii="仿宋" w:hAnsi="仿宋" w:eastAsia="仿宋" w:cs="仿宋"/>
          <w:sz w:val="36"/>
          <w:szCs w:val="36"/>
          <w:lang w:val="en-US" w:eastAsia="zh-CN"/>
        </w:rPr>
        <w:t xml:space="preserve">  落槌拍品退款是否构成解约</w:t>
      </w:r>
    </w:p>
    <w:p>
      <w:pPr>
        <w:bidi w:val="0"/>
        <w:rPr>
          <w:rFonts w:hint="eastAsia" w:ascii="仿宋" w:hAnsi="仿宋" w:eastAsia="仿宋" w:cs="仿宋"/>
          <w:kern w:val="2"/>
          <w:sz w:val="36"/>
          <w:szCs w:val="36"/>
          <w:lang w:val="en-US" w:eastAsia="zh-CN" w:bidi="ar-SA"/>
        </w:rPr>
      </w:pP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11月1日，北京市朝阳区人民法院对一件因化作尺寸之差而引发纠纷的案件进行判决。一时间，因纠纷而不提货的话题再一次撩起拍卖人的神经。拍卖公司要如何避免拍卖纠纷，这起案件的来龙去脉又是怎样</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在拍场上，买方因拍卖图录或有关资料与拍卖作品之间存在差异而拒付价款的情况并不罕见。2018年，某拍卖公司将买家杨某告上法庭，要求杨先生继续履行合同并赔偿经济损失。10月10日，北京市朝阳区人民法院开庭审理此案。11月1日宣判，驳回了拍卖公司的全部诉讼请求。</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00000" w:themeColor="text1"/>
          <w:spacing w:val="0"/>
          <w:sz w:val="28"/>
          <w:szCs w:val="28"/>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14:textFill>
            <w14:solidFill>
              <w14:schemeClr w14:val="tx1"/>
            </w14:solidFill>
          </w14:textFill>
        </w:rPr>
        <w:t>提货方知尺寸有差异</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说起这件事，还得追溯到一年前。2017年12月，北京某拍卖会上，杨先生签署了《竞买协议》。协议约定如拍卖成交，竞买人应一次付清包含落槌价15%的佣金等在内的全部购买价款；拍卖公司对拍品的真伪品质不承担瑕疵担保责任，拍卖图录、状态报告对拍品所作的介绍与评价均为参考性意见，不构成担保；竞买人自行审看拍品原物，并对竞买行为承担法律责任。当天，杨先生在拍卖会上以954.5万元的价格成功竞买张大千的画作《荷影缤纷》，并签署成交确认书。</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今年2月5日，杨先生将拍得的张大千画作及另一件拍品的价款共计964.85万元支付给拍卖公司，但在提画过程中，杨先生发现拍卖公司在拍卖图录中引用出版物《张大千作品选集》关于《荷影缤纷》的尺寸描述与拍品实际尺寸不符，遂提出质疑。经电话沟通，拍卖公司将上述两件拍品的价款964.85万元一并退还给杨先生，杨先生收到退款后将另一件拍品的价款10.35万元支付给拍卖公司，并将另一件拍品取走，《荷影缤纷》”仍留在了拍卖公司。</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据杨先生的律师介绍，此前，在拍品预展时，杨先生曾看过对涉案拍品的介绍和图录，其中，拍卖公司引用了两本提到这幅画作的著作。取货时，杨先生发现作品的尺寸为93×173cm，而原告方提供的著录《张大千作品集》《中国现代十大名画家·张大千》记载画作尺寸则是36×45cm。</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杨先生认为画作尺寸和著录不相符，不想要这幅画，于是和拍卖公司协商退款，拍卖公司将购买价款退还给了杨先生，拍卖合同已经解除。因此，原告的主张不应成立。</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7F6331"/>
          <w:spacing w:val="0"/>
          <w:sz w:val="28"/>
          <w:szCs w:val="28"/>
          <w:shd w:val="clear" w:fill="FFFFFF"/>
        </w:rPr>
        <w:t>退款行为的法律效力认定</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原告律师则表示，当时，拍卖公司的某经理见杨先生情绪激动，称这幅画是赝品要求退货。某经理并非业务人员，对画作情况并不了解，本着友好合作的理念和出于对杨先生的信任，某经理先行退款给杨先生，约定如果经研究画没问题，再由杨先生付款。律师认为，某经理的退款行为是有条件的，但后来拍卖公司研究认为，这幅画并不存在尺寸瑕疵，著录中的尺寸记录只是笔误。被告方则不这么认为，“著录记载是很影响作品价值的。”被告律师说。</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法院经审理认为，本案争议焦点为拍卖公司退款行为的效力问题。双方对于通话的详细内容各执一词，但均未提供证据，故无法确知当时通话的真实内容。但从电话沟通后拍卖公司退款，杨先生未提走拍品《荷影缤纷》、仅对另一件拍品交款提货等行为，可以视为双方已就解除合同协商一致，并就解除合同的法律后果进行了处理，即对《荷影缤纷》退款、未提货。法院一审认定拍卖公司向杨先生退还拍卖款的行为构成对拍卖合同的解除，判决驳回了拍卖公司的全部诉讼请求。宣判后拍卖公司及杨先生均未表示是否上诉。</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00000" w:themeColor="text1"/>
          <w:spacing w:val="0"/>
          <w:sz w:val="28"/>
          <w:szCs w:val="28"/>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FFFFF"/>
          <w14:textFill>
            <w14:solidFill>
              <w14:schemeClr w14:val="tx1"/>
            </w14:solidFill>
          </w14:textFill>
        </w:rPr>
        <w:t>拍而不付 拍卖行难承其重</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其实，拍场上拍而不付的情况早已存在。据《2017中国文物艺术品拍卖统计年报》显示，截至2018年5月15日，2017年成交的拍品中，完成结算的拍品总额仅为总成交额的49%，降至历年来最低。而在1000万元人民币以上成交的拍品中，已完成结算101件（套），仅为38.55%，在16件过亿元成交的拍品中，仅有两件在2018年5月15日之前全部完成结算。可见买家拍而不付的情况依然是行业的顽疾。</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中央财经大学法学院教授刘双舟表示，“拍而不付的情况非常常见，但实际进入诉讼程序却少之又少，一方面如果买家因为资金缺乏而无力支付的话，即便进入诉讼阶段买家也无力偿还。另一方面，打官司需要耗费拍卖公司大量的人力、财力，且大多数不付款买家都是拍卖行的老客户，出于维护客户和节省财力的考量，拍卖行也就不再进一步追究”。</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拍卖领域专家季涛认为，对拍卖公司来说，买家出现“拍而不付”的现象对拍卖公司的影响是巨大的，尤其是价格高昂的亿元拍品，前期拍卖行都会对重点拍品进行多方宣传投入，如果拍品最终未完成交割，拍卖行的损失是十份惨重的。特别是在整个艺术市场环境不景气的现状下，不少小拍卖行甚至不少小的拍卖行因此被拖垮。</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如何避免此类案件</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据悉，此次纠纷的画作张大千《荷影缤纷》乃是拍卖公司2017年秋拍中国书画专场重点拍品之一。该拍卖公司官网有关该拍品的介绍显示，此画为张大千1976年作，画作尺幅93×173cm。有关著录出版信息为：出版：《张大千作品选集》第93页，（台北）历史博物馆，1976年5月；《中国现代十大名画家·张大千》第81页，北京工艺美术出版社，2003年9月。</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从此案情况不难看出，一方面被告人杨某，在交纳964.85万元拍品价款之前，一直以为所竞买的《荷影缤纷》尺寸为著录资料中所记载的画作尺寸“36×45cm”，那一定是没有参看拍卖之前的预展。拍卖公司在此前也没有提醒买家，这件作品和著录文献有差异，差异的原因可能是由于著录时的笔误。</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757C81"/>
          <w:spacing w:val="0"/>
          <w:sz w:val="28"/>
          <w:szCs w:val="28"/>
        </w:rPr>
      </w:pPr>
      <w:r>
        <w:rPr>
          <w:rFonts w:hint="eastAsia" w:ascii="仿宋" w:hAnsi="仿宋" w:eastAsia="仿宋" w:cs="仿宋"/>
          <w:i w:val="0"/>
          <w:caps w:val="0"/>
          <w:color w:val="000000"/>
          <w:spacing w:val="0"/>
          <w:sz w:val="28"/>
          <w:szCs w:val="28"/>
          <w:shd w:val="clear" w:fill="FFFFFF"/>
        </w:rPr>
        <w:t>总结此次案件经验，一方面买家要尽量在拍卖会开始前，到预展现场看一下所要竞买的拍品。另一方面，拍卖公司应提升图录编辑的规范性、严谨性，避免此类纠纷再次发生。</w:t>
      </w:r>
    </w:p>
    <w:p>
      <w:pPr>
        <w:bidi w:val="0"/>
        <w:jc w:val="left"/>
        <w:rPr>
          <w:rFonts w:ascii="Helvetica" w:hAnsi="Helvetica" w:eastAsia="Helvetica" w:cs="Helvetica"/>
          <w:i w:val="0"/>
          <w:caps w:val="0"/>
          <w:color w:val="333333"/>
          <w:spacing w:val="0"/>
          <w:sz w:val="21"/>
          <w:szCs w:val="21"/>
          <w:shd w:val="clear" w:fill="FFFFFF"/>
        </w:rPr>
      </w:pPr>
      <w:r>
        <w:rPr>
          <w:rFonts w:hint="eastAsia" w:ascii="仿宋" w:hAnsi="仿宋" w:eastAsia="仿宋" w:cs="仿宋"/>
          <w:sz w:val="28"/>
          <w:szCs w:val="28"/>
          <w:lang w:val="en-US" w:eastAsia="zh-CN"/>
        </w:rPr>
        <w:t xml:space="preserve">                                       </w:t>
      </w:r>
      <w:r>
        <w:rPr>
          <w:rFonts w:ascii="Helvetica" w:hAnsi="Helvetica" w:eastAsia="Helvetica" w:cs="Helvetica"/>
          <w:i w:val="0"/>
          <w:caps w:val="0"/>
          <w:color w:val="333333"/>
          <w:spacing w:val="0"/>
          <w:sz w:val="21"/>
          <w:szCs w:val="21"/>
          <w:shd w:val="clear" w:fill="FFFFFF"/>
        </w:rPr>
        <w:t>--来源：《中国拍卖》</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219"/>
        </w:tabs>
        <w:bidi w:val="0"/>
        <w:ind w:firstLine="1440" w:firstLineChars="400"/>
        <w:jc w:val="left"/>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拍卖 海关罚没物变现价值最大化</w:t>
      </w:r>
    </w:p>
    <w:p>
      <w:pPr>
        <w:bidi w:val="0"/>
        <w:rPr>
          <w:rFonts w:hint="default" w:asciiTheme="minorHAnsi" w:hAnsiTheme="minorHAnsi" w:eastAsiaTheme="minorEastAsia" w:cstheme="minorBidi"/>
          <w:kern w:val="2"/>
          <w:sz w:val="21"/>
          <w:szCs w:val="24"/>
          <w:lang w:val="en-US" w:eastAsia="zh-CN" w:bidi="ar-SA"/>
        </w:rPr>
      </w:pP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10月23日，沈阳海关首次拍卖涉案黄金，共计42.5214公斤，整体一次性以1121.8万元成交，这批黄金是去年沈阳海关在破获一起走私案中依法罚没的。按规定我国对各类海关罚没物资进行公开处置，拍卖所得款将直接上缴国库，最大限度地实现了罚没物资的变现和增值，有效地促进了财政增收，有力地维护了国家利益</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沈阳海关首次拍卖涉案黄金</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10月23日，沈阳海关首次拍卖了去年破获的一起走私案中，依法罚没的涉案黄金，黄金原料89块，共计42.5214公斤，整体一次性以1121.8万元成交，拍卖所得依法全部上缴国库。这是沈阳海关首次拍卖涉案黄金，吸引了120人设置拍卖提醒，10972人次网络围观。</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沈阳海关依据黄金纯度和重量的检验报告，委托沈阳市价格认证中心进行了价格评估，通过现场摇号抽取和“摇珠”的双随机方式，选择确定辽宁建投拍卖有限公司。</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10月24日，在确认拍卖标的价款到达指定账户后，沈阳海关会同拍卖公司、买受人对拍卖标的的数量、重量进行清点，办理了交割和涉案财务出库手续。</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海关拍卖品哪些受青睐</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按照国家有关规定，海关查获和其他执法部门查获的走私货物和物品统一交由海关处理，具体处理方式包括公开拍卖、定向转卖、移交主管部门处理、转交给中国红十字会等公益机构以及销毁处理。</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对国家法律法规没有特殊规定的罚没货物、超期货物和放弃货物等三大类货物，海关都实行公开拍卖，这是海关处理罚没物资的主要方式。拍卖所得的款项中，罚没物资变价款中的先行变卖款项一般根据法院最终判决作为罚没收入上缴国库或退还当事人；其他罚没物资变价款则直接上缴国库；超期、放弃货物变价款在扣除相关费用后上缴国库。</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作为公开拍卖的商品，海关罚没物资只有经过权威检测机构辨明真品后，方能拿出来拍卖，对于没通过真品检测的罚没品，海关都会销毁处理。</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罚没奢侈品大受欢迎 在拍卖的物品中，包、鞋类、手表、首饰、服装是比较常见的，包和鞋类物品深受国内市场欢迎，需求比较大。</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5月16日，成都海关首次在电商平台公开拍卖罚没奢侈品，最终成交271个标的物，成交总价近130万元，本次拍卖收入全额上交中央财政。</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这批奢侈品是成都海关罚没的违规、超限入关物品，经鉴定为正品后，委托四川省盛世龙拍卖有限公司公开拍卖。</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根据拍卖公司提供的信息，本次成都海关拍品可称“女性专场”。389件商品被设置为286个标的，其中包类133个，鞋105双，首饰57对，此外还有衣服和丝巾等商品，每件参考价从0.04-2万元不等。市民的拍卖热情出人预料，累计围观人次约53.5万，总竞买1859人次，总竞价3339次，总交保人数3266人。</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拍品中成交价格最高的是一款香奈儿黑色皮革单肩包，达到32260元。此外，一个香奈儿耳钉拍卖起始价仅850元，经过48次竞价后，最终以6050元成交。根据竞价记录，17日9点50左右，这款耳钉的价格仅为3800多元，之后随着两位拍客的竞价，该商品最终突破6000元。据工作人员估计，本次成交商品中，省外拍客大约占到一半。他们来自浙江、上海、广东等地，而且不是新手。经验丰富的拍客会在接近截止时间时下手，这样可在竞价中占据有利位置，而此次使用该“套路”的拍客不少。</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在流拍标的中，有一个是上百双各种鞋类，由于数量众多，这批鞋子起拍价达到16万元，影响了最终成交。海关人员表示，下次会将这批鞋类分拆拍卖，使得拍品更符合市民需求，提高成交率。而本次拍卖没有成交的其他商品，也将按照有关规定，在下次海关拍卖中降价拍卖，最高降幅将达到20%。</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拍到物美价廉的走私车 除了奢侈品外，海关罚没走私车也是深受百姓欢迎。2017年6月6日，北京海关罚没的7辆走私车在中都国际拍卖公司进行公开拍卖，包括路虎、宾利、迈巴赫等品牌的4部越野车和3部轿车，其中一辆“科尼塞克”牌跑车更是数量稀少的“尖儿货”，最终以1040万元的成交价拔得头筹，全部7辆汽车拍卖总成交价为2092万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2016年1月14日，包括玛莎拉蒂、保时捷、宝马、奥迪等豪车品牌在内的24辆大连海关罚没车辆，在经过24小时的激烈竞价后，最终22辆被来自全国各地的竞买人买走，总成交金额为2040.7万元，成交率92%，平均溢价率达到了17%。这也是我国海关利用电商平台拍卖走私罚没物品的首个案例。</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罚没3C产品便宜到“爆” 2016年3月14日，经海关总署批准同意，长沙海关与某拍卖平台在17-24日之间推出“中部海关第一拍”，对罚没数码商品进行处置。</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此次拍卖的数码商品分为12类共40箱，包括佳能相机、索尼镜头、金士顿U盘等广受消费者喜爱的数码产品。成交的30个标的起拍价为124.35万元，最终成交金额159.5万元，溢价35.15万元，溢价率为28.27%。</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最受追捧、竞价也最为充分的是标的27号。这个标的物包含Intel SSD 530系列的120G固态硬盘194个，产地为美国，起拍单价为152.30元。记者通过查询，相同型号的固态硬盘价格为每个400元左右，起拍价约为市面价格的四成左右。</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3万多次围观，49人报名，4小时内36次出价，每次加价500元，充分的竞价把这批固态硬盘的“身价”从29546.98元抬高到了50546.98元，溢价率约为70%。同样抢手的还有标的1，也是一批Intel的固态硬盘（295个），5个小时内共有61次竞买记录，还经历了3次延时，最终这批295个intel固态硬盘以84929.68元成交，溢价率高达89%。收获最多的是一位来自深圳的竞买者，一人独中8个标的，成交价为48.37万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冷门商品意外走红 2015年3月，江门海关罚没财物拍卖会上，28.22吨冻牛筋、牛尾等，起拍价为46.028万元，经过10多个激烈的来回，最终以67万元成交，溢价率达45.56%。冻鸡爪的竞拍更为戏剧化，当现场叫价徘徊在16万元时，坐在后排的李先生以一句“20万”，迅速结束了本次竞拍，溢价率达57%。</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2016年2月16日，天津海关委托拍卖的1680箱星巴克咖啡饮料，因为临近保质期，按照先行变卖方式进行处理。在拍卖会现场，拍卖师对作为10号拍品的全部饮料报出的起拍价为187645元，一位中年女性竞买人举牌以19万元的价格进行应价，并最终以该价格成功拍下全部1680箱（共40320瓶）星巴克咖啡饮料。</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正在发生的海关互联网+</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伴随着长沙海关罚没数码物品的热拍，目前,全国有近30个海关单位在网络平台上拍卖罚没物品，海关网络拍卖成为一种常态。截至2018年11月5日，中国海关共举行了588期罚没物品拍卖会，其中有500期都在网络上进行。</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4月11日,乌鲁木齐机场海关在网上成功拍卖罚没和田碧玉原料5块,共2.9千克,经专业鉴定起拍价为192.5元，在1089次激烈竞价之后,最终以50022.5元成交,这成为自2017年乌鲁木齐海关开展网上公开拍卖以来,截至目前溢价率最高的拍品。</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6月7日，南宁海关借助网络拍卖平台对依法罚没的2555瓶洋酒进行拍卖，经过340次出价，最终以161.3万元成交。2016年南宁海关利用网络平台公开拍卖涉案财物92批次，包括汽车、酒、大米、燕窝等货物，成交价达5000多万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2016年10月宁波海关首次将“互联网 ”理念引入海关涉案财物处置工作，截止2018年6月，共组织网络拍卖8次，成交额共计4956.59万元。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i w:val="0"/>
          <w:caps w:val="0"/>
          <w:color w:val="0D0D0D" w:themeColor="text1" w:themeTint="F2"/>
          <w:spacing w:val="0"/>
          <w:sz w:val="28"/>
          <w:szCs w:val="28"/>
          <w:shd w:val="clear" w:fill="FFFFFF"/>
          <w14:textFill>
            <w14:solidFill>
              <w14:schemeClr w14:val="tx1">
                <w14:lumMod w14:val="95000"/>
                <w14:lumOff w14:val="5000"/>
              </w14:schemeClr>
            </w14:solidFill>
          </w14:textFill>
        </w:rPr>
        <w:t>通过“互联网+”和“拍卖+”的方式处置海关罚没物品，利于接受公众监督，实现拍品处置透明化，国家财政收入效益最大化。</w:t>
      </w:r>
    </w:p>
    <w:p>
      <w:pPr>
        <w:bidi w:val="0"/>
        <w:ind w:firstLine="219" w:firstLineChars="0"/>
        <w:jc w:val="left"/>
        <w:rPr>
          <w:rFonts w:hint="default"/>
          <w:lang w:val="en-US" w:eastAsia="zh-CN"/>
        </w:rPr>
      </w:pPr>
    </w:p>
    <w:p>
      <w:pPr>
        <w:tabs>
          <w:tab w:val="left" w:pos="6617"/>
        </w:tabs>
        <w:bidi w:val="0"/>
        <w:ind w:firstLine="5670" w:firstLineChars="2700"/>
        <w:jc w:val="left"/>
        <w:rPr>
          <w:rFonts w:ascii="Helvetica" w:hAnsi="Helvetica" w:eastAsia="Helvetica" w:cs="Helvetica"/>
          <w:i w:val="0"/>
          <w:caps w:val="0"/>
          <w:color w:val="333333"/>
          <w:spacing w:val="0"/>
          <w:sz w:val="21"/>
          <w:szCs w:val="21"/>
          <w:shd w:val="clear" w:fill="FFFFFF"/>
        </w:rPr>
      </w:pPr>
      <w:r>
        <w:rPr>
          <w:rFonts w:ascii="Helvetica" w:hAnsi="Helvetica" w:eastAsia="Helvetica" w:cs="Helvetica"/>
          <w:i w:val="0"/>
          <w:caps w:val="0"/>
          <w:color w:val="333333"/>
          <w:spacing w:val="0"/>
          <w:sz w:val="21"/>
          <w:szCs w:val="21"/>
          <w:shd w:val="clear" w:fill="FFFFFF"/>
        </w:rPr>
        <w:t>--来源：《中国拍卖》</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455"/>
        </w:tabs>
        <w:bidi w:val="0"/>
        <w:ind w:firstLine="1440" w:firstLineChars="400"/>
        <w:jc w:val="left"/>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法院拍卖房产流拍三次后如何处理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right="0"/>
        <w:rPr>
          <w:rFonts w:ascii="微软雅黑" w:hAnsi="微软雅黑" w:eastAsia="微软雅黑" w:cs="微软雅黑"/>
          <w:i w:val="0"/>
          <w:caps w:val="0"/>
          <w:color w:val="333333"/>
          <w:spacing w:val="0"/>
          <w:sz w:val="24"/>
          <w:szCs w:val="24"/>
          <w:shd w:val="clear" w:fill="FAFAF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right="0" w:firstLine="280" w:firstLineChars="10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购买法院拍卖的房产也是购房的一种途径之一，房地产市场近几年持续火爆，房价一直居高不下。通过法院拍卖取得房产的途径成了一个热门的选择，对此人们早已趋之若鹜。那么要是法院拍卖房产流拍三次后如何处理？接下来由</w:t>
      </w:r>
      <w:r>
        <w:rPr>
          <w:rFonts w:hint="eastAsia" w:ascii="仿宋" w:hAnsi="仿宋" w:eastAsia="仿宋" w:cs="仿宋"/>
          <w:i w:val="0"/>
          <w:caps w:val="0"/>
          <w:color w:val="181717" w:themeColor="background2" w:themeShade="1A"/>
          <w:spacing w:val="0"/>
          <w:sz w:val="28"/>
          <w:szCs w:val="28"/>
          <w:u w:val="single"/>
          <w:shd w:val="clear" w:fill="FAFAFA"/>
        </w:rPr>
        <w:fldChar w:fldCharType="begin"/>
      </w:r>
      <w:r>
        <w:rPr>
          <w:rFonts w:hint="eastAsia" w:ascii="仿宋" w:hAnsi="仿宋" w:eastAsia="仿宋" w:cs="仿宋"/>
          <w:i w:val="0"/>
          <w:caps w:val="0"/>
          <w:color w:val="181717" w:themeColor="background2" w:themeShade="1A"/>
          <w:spacing w:val="0"/>
          <w:sz w:val="28"/>
          <w:szCs w:val="28"/>
          <w:u w:val="single"/>
          <w:shd w:val="clear" w:fill="FAFAFA"/>
        </w:rPr>
        <w:instrText xml:space="preserve"> HYPERLINK "http://www.66law.cn/" \o "华律网" \t "https://www.66law.cn/laws/_blank" </w:instrText>
      </w:r>
      <w:r>
        <w:rPr>
          <w:rFonts w:hint="eastAsia" w:ascii="仿宋" w:hAnsi="仿宋" w:eastAsia="仿宋" w:cs="仿宋"/>
          <w:i w:val="0"/>
          <w:caps w:val="0"/>
          <w:color w:val="181717" w:themeColor="background2" w:themeShade="1A"/>
          <w:spacing w:val="0"/>
          <w:sz w:val="28"/>
          <w:szCs w:val="28"/>
          <w:u w:val="single"/>
          <w:shd w:val="clear" w:fill="FAFAFA"/>
        </w:rPr>
        <w:fldChar w:fldCharType="separate"/>
      </w:r>
      <w:r>
        <w:rPr>
          <w:rStyle w:val="14"/>
          <w:rFonts w:hint="eastAsia" w:ascii="仿宋" w:hAnsi="仿宋" w:eastAsia="仿宋" w:cs="仿宋"/>
          <w:i w:val="0"/>
          <w:caps w:val="0"/>
          <w:color w:val="181717" w:themeColor="background2" w:themeShade="1A"/>
          <w:spacing w:val="0"/>
          <w:sz w:val="28"/>
          <w:szCs w:val="28"/>
          <w:u w:val="single"/>
          <w:shd w:val="clear" w:fill="FAFAFA"/>
        </w:rPr>
        <w:t>华律网</w:t>
      </w:r>
      <w:r>
        <w:rPr>
          <w:rFonts w:hint="eastAsia" w:ascii="仿宋" w:hAnsi="仿宋" w:eastAsia="仿宋" w:cs="仿宋"/>
          <w:i w:val="0"/>
          <w:caps w:val="0"/>
          <w:color w:val="181717" w:themeColor="background2" w:themeShade="1A"/>
          <w:spacing w:val="0"/>
          <w:sz w:val="28"/>
          <w:szCs w:val="28"/>
          <w:u w:val="single"/>
          <w:shd w:val="clear" w:fill="FAFAFA"/>
        </w:rPr>
        <w:fldChar w:fldCharType="end"/>
      </w:r>
      <w:r>
        <w:rPr>
          <w:rFonts w:hint="eastAsia" w:ascii="仿宋" w:hAnsi="仿宋" w:eastAsia="仿宋" w:cs="仿宋"/>
          <w:i w:val="0"/>
          <w:caps w:val="0"/>
          <w:color w:val="181717" w:themeColor="background2" w:themeShade="1A"/>
          <w:spacing w:val="0"/>
          <w:sz w:val="28"/>
          <w:szCs w:val="28"/>
          <w:shd w:val="clear" w:fill="FAFAFA"/>
        </w:rPr>
        <w:t>的小编为大家整理了一些关于这方面的知识，欢迎大家阅读！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Style w:val="10"/>
          <w:rFonts w:hint="eastAsia" w:ascii="仿宋" w:hAnsi="仿宋" w:eastAsia="仿宋" w:cs="仿宋"/>
          <w:i w:val="0"/>
          <w:caps w:val="0"/>
          <w:color w:val="181717" w:themeColor="background2" w:themeShade="1A"/>
          <w:spacing w:val="0"/>
          <w:sz w:val="28"/>
          <w:szCs w:val="28"/>
          <w:shd w:val="clear" w:fill="FAFAFA"/>
        </w:rPr>
        <w:t>法院拍卖房产流拍三次后怎么办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根据最高人民法院《关于人民法院民事执行中拍卖、变卖财产的规定》(法释[2004]16号，以下简称《规定》)第二十八条第2款规定：“第三次拍卖流拍且申请执行人或者其他执行债权人拒绝接受或者依法不能接受该不动产或者其他财产权抵债的，人民法院应当于第三次拍卖终结之日起七日内发出变卖公告。自公告之日起六十日内没有买受人愿意以第三次拍卖的保留价买受该财产，且申请执行人、其他执行债权人仍不表示接受该财产抵债的，应当解除查封、冻结，将该财产退还被执行人，但对该财产可以采取其他执行措施的除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jc w:val="center"/>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drawing>
          <wp:inline distT="0" distB="0" distL="114300" distR="114300">
            <wp:extent cx="3619500" cy="2247900"/>
            <wp:effectExtent l="0" t="0" r="0" b="0"/>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2"/>
                    <a:stretch>
                      <a:fillRect/>
                    </a:stretch>
                  </pic:blipFill>
                  <pic:spPr>
                    <a:xfrm>
                      <a:off x="0" y="0"/>
                      <a:ext cx="3619500" cy="22479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因此，若抵押房产经拍卖三次流拍后，申请执行人或者其他执行债权人拒绝接受或者依法不能接受以房抵债的，法院应当于第三次拍卖终结之日起七日内发出变卖公告。若通过变卖程序仍无法成交的，则只能选择以房抵债，否则法院对抵押房产予以解除查封、冻结，并将房产退还被执行人，但对该房产可以采取其他执行措施的除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Style w:val="10"/>
          <w:rFonts w:hint="eastAsia" w:ascii="仿宋" w:hAnsi="仿宋" w:eastAsia="仿宋" w:cs="仿宋"/>
          <w:i w:val="0"/>
          <w:caps w:val="0"/>
          <w:color w:val="181717" w:themeColor="background2" w:themeShade="1A"/>
          <w:spacing w:val="0"/>
          <w:sz w:val="28"/>
          <w:szCs w:val="28"/>
          <w:shd w:val="clear" w:fill="FAFAFA"/>
        </w:rPr>
        <w:t>购买法院拍卖房有何利弊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关于“利”的分析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可以避开限购令，对通过法院拍卖取得房屋所有权的方式，现在没有明确的法律规定或政策规定，是否也按照限购令执行。因此，我们说目前还是一个“灰色地带”。但在实际执行中，房屋竞得人必须拿着法院出具的房产权属变更司法裁定、拍卖成交确认书、协助执行书及身份证等证件，到房屋所在区域的房产主管机关办理过户手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可以规避部分税种，一般来说在办理产权过户时，出具了法院的协助执行书后，通过法院拍卖所得房屋只需缴纳契税，不需缴纳所得税和营业税。但目前这种操作方式尚存一定争议。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关于“弊”的分析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《最高人民法院关于人民法院民事执行中拍卖、变卖财产的规定》第一条明确规定，在执行程序中，被执行人的财产被查封、扣押、冻结后，人民法院应当及时进行拍卖、变卖或者采取其他执行措施。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上述法律规定是我们经过法院拍卖取得房屋的基本法律依据，很多人都认为从法院取得的被拍卖房产应该是非常安全保险的，但实际情况往往事与愿违，因为法院不是专业房屋产权管理机构，因此在实际执行时，经常会出现司法权与行政权“打架”等对于普通购房人来说无法预见的风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风险一：房屋所有权证的办理难以确定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因为开发商在楼盘开发时需要在规划、住建、国土等政府主管部门拿到相应的审批文件，而法院在执行相关案件时很难准确、及时地提供与</w:t>
      </w:r>
      <w:r>
        <w:rPr>
          <w:rFonts w:hint="eastAsia" w:ascii="仿宋" w:hAnsi="仿宋" w:eastAsia="仿宋" w:cs="仿宋"/>
          <w:i w:val="0"/>
          <w:caps w:val="0"/>
          <w:color w:val="181717" w:themeColor="background2" w:themeShade="1A"/>
          <w:spacing w:val="0"/>
          <w:sz w:val="28"/>
          <w:szCs w:val="28"/>
          <w:u w:val="single"/>
          <w:shd w:val="clear" w:fill="FAFAFA"/>
        </w:rPr>
        <w:fldChar w:fldCharType="begin"/>
      </w:r>
      <w:r>
        <w:rPr>
          <w:rFonts w:hint="eastAsia" w:ascii="仿宋" w:hAnsi="仿宋" w:eastAsia="仿宋" w:cs="仿宋"/>
          <w:i w:val="0"/>
          <w:caps w:val="0"/>
          <w:color w:val="181717" w:themeColor="background2" w:themeShade="1A"/>
          <w:spacing w:val="0"/>
          <w:sz w:val="28"/>
          <w:szCs w:val="28"/>
          <w:u w:val="single"/>
          <w:shd w:val="clear" w:fill="FAFAFA"/>
        </w:rPr>
        <w:instrText xml:space="preserve"> HYPERLINK "http://www.66law.cn/special/fangchanz/" \o "房产证办理" \t "https://www.66law.cn/laws/_blank" </w:instrText>
      </w:r>
      <w:r>
        <w:rPr>
          <w:rFonts w:hint="eastAsia" w:ascii="仿宋" w:hAnsi="仿宋" w:eastAsia="仿宋" w:cs="仿宋"/>
          <w:i w:val="0"/>
          <w:caps w:val="0"/>
          <w:color w:val="181717" w:themeColor="background2" w:themeShade="1A"/>
          <w:spacing w:val="0"/>
          <w:sz w:val="28"/>
          <w:szCs w:val="28"/>
          <w:u w:val="single"/>
          <w:shd w:val="clear" w:fill="FAFAFA"/>
        </w:rPr>
        <w:fldChar w:fldCharType="separate"/>
      </w:r>
      <w:r>
        <w:rPr>
          <w:rStyle w:val="14"/>
          <w:rFonts w:hint="eastAsia" w:ascii="仿宋" w:hAnsi="仿宋" w:eastAsia="仿宋" w:cs="仿宋"/>
          <w:i w:val="0"/>
          <w:caps w:val="0"/>
          <w:color w:val="181717" w:themeColor="background2" w:themeShade="1A"/>
          <w:spacing w:val="0"/>
          <w:sz w:val="28"/>
          <w:szCs w:val="28"/>
          <w:u w:val="single"/>
          <w:shd w:val="clear" w:fill="FAFAFA"/>
        </w:rPr>
        <w:t>房产证办理</w:t>
      </w:r>
      <w:r>
        <w:rPr>
          <w:rFonts w:hint="eastAsia" w:ascii="仿宋" w:hAnsi="仿宋" w:eastAsia="仿宋" w:cs="仿宋"/>
          <w:i w:val="0"/>
          <w:caps w:val="0"/>
          <w:color w:val="181717" w:themeColor="background2" w:themeShade="1A"/>
          <w:spacing w:val="0"/>
          <w:sz w:val="28"/>
          <w:szCs w:val="28"/>
          <w:u w:val="single"/>
          <w:shd w:val="clear" w:fill="FAFAFA"/>
        </w:rPr>
        <w:fldChar w:fldCharType="end"/>
      </w:r>
      <w:r>
        <w:rPr>
          <w:rFonts w:hint="eastAsia" w:ascii="仿宋" w:hAnsi="仿宋" w:eastAsia="仿宋" w:cs="仿宋"/>
          <w:i w:val="0"/>
          <w:caps w:val="0"/>
          <w:color w:val="181717" w:themeColor="background2" w:themeShade="1A"/>
          <w:spacing w:val="0"/>
          <w:sz w:val="28"/>
          <w:szCs w:val="28"/>
          <w:shd w:val="clear" w:fill="FAFAFA"/>
        </w:rPr>
        <w:t>的信息，因此就会导致拍卖房屋的所有权证书办理会出现问题。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如何判断是否会出现这样的风险?要看该房屋在拍卖前的所有权状况，如果该房屋在法院查封前属于合法登记的房产且产权手续齐备，则可依据法院的协助执行通知书办理房屋所有权证。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那么，如果该房屋在法院查封之前没有办理产权证或初始产权登记，且没有办理的原因是原所有权人存在违法行为或不具备产权登记的条件，相关政府主管部门不予登记的，这种情况购买查封的房屋是没法办理房屋所有权证书的。但如果原所有权人不能办理产权登记的情况，只因不具备主管机关要求的条件而无法办理，那么条件具备后或法院通过强制执行使之能办理所有权登记手续的，购房人也可以办理房屋所有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风险二：房屋质量没保障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因为在法院委托拍卖机构进行拍卖时，通常只是对明显的瑕疵进行简单描述，对于房屋存在的其他隐秘或暂时不能显现的质量问题都不会体现。因此，即便进行了现场查勘，也会存在相应的质量瑕疵风险。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一般来说，如果因为开发商资金链断裂延期交房，这种房屋经常会因为在施工时偷工减料，开发商使用的建筑材料以次充好，导致存在质量瑕疵。但因为这些房子还没有经过长期实际居住使用，因此无法发现隐蔽问题。并且这些问题很难通过诉讼解决。因为法院一般会认为，房屋原所有人在拍卖前只要告知拍卖公司房屋存在某种瑕疵情况，拍卖公司又将这一情况如实告知竞买人，并声明仅以房屋现状拍卖，就视为均已依法履行了瑕疵告知义务。竞买人对所竞买的物品负有谨慎的注意义务，应对拍卖标的物了解清楚后参与竞买，所以只要实际参与了，法院就会推定自愿接受这种现实，因此通常情况下，不会支持竞买人的诉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风险三：法律规定的执行回转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w:t>
      </w:r>
      <w:r>
        <w:rPr>
          <w:rFonts w:hint="eastAsia" w:ascii="仿宋" w:hAnsi="仿宋" w:eastAsia="仿宋" w:cs="仿宋"/>
          <w:i w:val="0"/>
          <w:caps w:val="0"/>
          <w:color w:val="181717" w:themeColor="background2" w:themeShade="1A"/>
          <w:spacing w:val="0"/>
          <w:sz w:val="28"/>
          <w:szCs w:val="28"/>
          <w:u w:val="single"/>
          <w:shd w:val="clear" w:fill="FAFAFA"/>
        </w:rPr>
        <w:fldChar w:fldCharType="begin"/>
      </w:r>
      <w:r>
        <w:rPr>
          <w:rFonts w:hint="eastAsia" w:ascii="仿宋" w:hAnsi="仿宋" w:eastAsia="仿宋" w:cs="仿宋"/>
          <w:i w:val="0"/>
          <w:caps w:val="0"/>
          <w:color w:val="181717" w:themeColor="background2" w:themeShade="1A"/>
          <w:spacing w:val="0"/>
          <w:sz w:val="28"/>
          <w:szCs w:val="28"/>
          <w:u w:val="single"/>
          <w:shd w:val="clear" w:fill="FAFAFA"/>
        </w:rPr>
        <w:instrText xml:space="preserve"> HYPERLINK "http://www.66law.cn/tiaoli/12.aspx" \o "民事诉讼法" \t "https://www.66law.cn/laws/_blank" </w:instrText>
      </w:r>
      <w:r>
        <w:rPr>
          <w:rFonts w:hint="eastAsia" w:ascii="仿宋" w:hAnsi="仿宋" w:eastAsia="仿宋" w:cs="仿宋"/>
          <w:i w:val="0"/>
          <w:caps w:val="0"/>
          <w:color w:val="181717" w:themeColor="background2" w:themeShade="1A"/>
          <w:spacing w:val="0"/>
          <w:sz w:val="28"/>
          <w:szCs w:val="28"/>
          <w:u w:val="single"/>
          <w:shd w:val="clear" w:fill="FAFAFA"/>
        </w:rPr>
        <w:fldChar w:fldCharType="separate"/>
      </w:r>
      <w:r>
        <w:rPr>
          <w:rStyle w:val="14"/>
          <w:rFonts w:hint="eastAsia" w:ascii="仿宋" w:hAnsi="仿宋" w:eastAsia="仿宋" w:cs="仿宋"/>
          <w:i w:val="0"/>
          <w:caps w:val="0"/>
          <w:color w:val="181717" w:themeColor="background2" w:themeShade="1A"/>
          <w:spacing w:val="0"/>
          <w:sz w:val="28"/>
          <w:szCs w:val="28"/>
          <w:u w:val="single"/>
          <w:shd w:val="clear" w:fill="FAFAFA"/>
        </w:rPr>
        <w:t>民事诉讼法</w:t>
      </w:r>
      <w:r>
        <w:rPr>
          <w:rFonts w:hint="eastAsia" w:ascii="仿宋" w:hAnsi="仿宋" w:eastAsia="仿宋" w:cs="仿宋"/>
          <w:i w:val="0"/>
          <w:caps w:val="0"/>
          <w:color w:val="181717" w:themeColor="background2" w:themeShade="1A"/>
          <w:spacing w:val="0"/>
          <w:sz w:val="28"/>
          <w:szCs w:val="28"/>
          <w:u w:val="single"/>
          <w:shd w:val="clear" w:fill="FAFAFA"/>
        </w:rPr>
        <w:fldChar w:fldCharType="end"/>
      </w:r>
      <w:r>
        <w:rPr>
          <w:rFonts w:hint="eastAsia" w:ascii="仿宋" w:hAnsi="仿宋" w:eastAsia="仿宋" w:cs="仿宋"/>
          <w:i w:val="0"/>
          <w:caps w:val="0"/>
          <w:color w:val="181717" w:themeColor="background2" w:themeShade="1A"/>
          <w:spacing w:val="0"/>
          <w:sz w:val="28"/>
          <w:szCs w:val="28"/>
          <w:shd w:val="clear" w:fill="FAFAFA"/>
        </w:rPr>
        <w:t>》规定“执行完毕后，据以执行的判决、裁定和其他法律文书确有错误，被人民法院撤销的，对已被执行的财产，人民法院应当作出裁定，责令取得财产的人返还;拒不返还的，强制执行。”这一规定，就是我们所说的执行回转，法院错判后，可以依据该规定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通俗地讲，“执行回转”即是在执行程序结束后，原据以执行的法律文书经过法定程序被撤销，以至于取得财产的一方当事人丧失了取得的合法依据，法院重新采取执行措施，将已经执行的财产退还给原被执行人，恢复到执行程序开始前的状态的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如何对抗执行回转?我们认为，应该适用善意取得制度来与之相抗衡，法律基本的价值取向应当是保障交易安全，《</w:t>
      </w:r>
      <w:r>
        <w:rPr>
          <w:rFonts w:hint="eastAsia" w:ascii="仿宋" w:hAnsi="仿宋" w:eastAsia="仿宋" w:cs="仿宋"/>
          <w:i w:val="0"/>
          <w:caps w:val="0"/>
          <w:color w:val="181717" w:themeColor="background2" w:themeShade="1A"/>
          <w:spacing w:val="0"/>
          <w:sz w:val="28"/>
          <w:szCs w:val="28"/>
          <w:u w:val="single"/>
          <w:shd w:val="clear" w:fill="FAFAFA"/>
        </w:rPr>
        <w:fldChar w:fldCharType="begin"/>
      </w:r>
      <w:r>
        <w:rPr>
          <w:rFonts w:hint="eastAsia" w:ascii="仿宋" w:hAnsi="仿宋" w:eastAsia="仿宋" w:cs="仿宋"/>
          <w:i w:val="0"/>
          <w:caps w:val="0"/>
          <w:color w:val="181717" w:themeColor="background2" w:themeShade="1A"/>
          <w:spacing w:val="0"/>
          <w:sz w:val="28"/>
          <w:szCs w:val="28"/>
          <w:u w:val="single"/>
          <w:shd w:val="clear" w:fill="FAFAFA"/>
        </w:rPr>
        <w:instrText xml:space="preserve"> HYPERLINK "http://www.66law.cn/tiaoli/33.aspx" \o "物权法" \t "https://www.66law.cn/laws/_blank" </w:instrText>
      </w:r>
      <w:r>
        <w:rPr>
          <w:rFonts w:hint="eastAsia" w:ascii="仿宋" w:hAnsi="仿宋" w:eastAsia="仿宋" w:cs="仿宋"/>
          <w:i w:val="0"/>
          <w:caps w:val="0"/>
          <w:color w:val="181717" w:themeColor="background2" w:themeShade="1A"/>
          <w:spacing w:val="0"/>
          <w:sz w:val="28"/>
          <w:szCs w:val="28"/>
          <w:u w:val="single"/>
          <w:shd w:val="clear" w:fill="FAFAFA"/>
        </w:rPr>
        <w:fldChar w:fldCharType="separate"/>
      </w:r>
      <w:r>
        <w:rPr>
          <w:rStyle w:val="14"/>
          <w:rFonts w:hint="eastAsia" w:ascii="仿宋" w:hAnsi="仿宋" w:eastAsia="仿宋" w:cs="仿宋"/>
          <w:i w:val="0"/>
          <w:caps w:val="0"/>
          <w:color w:val="181717" w:themeColor="background2" w:themeShade="1A"/>
          <w:spacing w:val="0"/>
          <w:sz w:val="28"/>
          <w:szCs w:val="28"/>
          <w:u w:val="single"/>
          <w:shd w:val="clear" w:fill="FAFAFA"/>
        </w:rPr>
        <w:t>物权法</w:t>
      </w:r>
      <w:r>
        <w:rPr>
          <w:rFonts w:hint="eastAsia" w:ascii="仿宋" w:hAnsi="仿宋" w:eastAsia="仿宋" w:cs="仿宋"/>
          <w:i w:val="0"/>
          <w:caps w:val="0"/>
          <w:color w:val="181717" w:themeColor="background2" w:themeShade="1A"/>
          <w:spacing w:val="0"/>
          <w:sz w:val="28"/>
          <w:szCs w:val="28"/>
          <w:u w:val="single"/>
          <w:shd w:val="clear" w:fill="FAFAFA"/>
        </w:rPr>
        <w:fldChar w:fldCharType="end"/>
      </w:r>
      <w:r>
        <w:rPr>
          <w:rFonts w:hint="eastAsia" w:ascii="仿宋" w:hAnsi="仿宋" w:eastAsia="仿宋" w:cs="仿宋"/>
          <w:i w:val="0"/>
          <w:caps w:val="0"/>
          <w:color w:val="181717" w:themeColor="background2" w:themeShade="1A"/>
          <w:spacing w:val="0"/>
          <w:sz w:val="28"/>
          <w:szCs w:val="28"/>
          <w:shd w:val="clear" w:fill="FAFAFA"/>
        </w:rPr>
        <w:t>》设立了善意取得制度。出卖人或者为他人设立担保物权的人，是无权处分人，买受人及取得担保物权人是善意(不知情且无过失)的当事人时，则可善意取得房产的所有权或者担保物权。因此，为了保障交易安全，最大限度保护通过拍卖取得房产的当事人利益，法律应该赋予善意取得对抗执行回转的效力。同时，因错判遭受损失者，应该通过司法途径获得赔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这种执行回转的情况虽然并不多见，但对竞拍人的损害却是巨大的。因为目前，在这种情况下没有明确的法律规定可以通过善意取得制度来进行救济，所以最现实的办法可能就是选择与相关当事人达成和解协议，做出一定让步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风险四：购房成本风险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这里面通常包含两方面，一是拍卖的房产不接受贷款，竞拍人必须一次性支付。二是实际购房成本加上拍卖佣金可能要高于相同户型、面积的房屋。与市场上的一般二手房交易不同，拍卖房的交易过程中涉及到两个重要费用，一是拍卖保证金，二是拍卖成交后需支付给拍卖公司的佣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其中保证金是竞拍人参与竞拍的“过路费”，竞拍人应在拍卖会举行前若干天将</w:t>
      </w:r>
      <w:r>
        <w:rPr>
          <w:rFonts w:hint="eastAsia" w:ascii="仿宋" w:hAnsi="仿宋" w:eastAsia="仿宋" w:cs="仿宋"/>
          <w:i w:val="0"/>
          <w:caps w:val="0"/>
          <w:color w:val="181717" w:themeColor="background2" w:themeShade="1A"/>
          <w:spacing w:val="0"/>
          <w:sz w:val="28"/>
          <w:szCs w:val="28"/>
          <w:u w:val="single"/>
          <w:shd w:val="clear" w:fill="FAFAFA"/>
        </w:rPr>
        <w:fldChar w:fldCharType="begin"/>
      </w:r>
      <w:r>
        <w:rPr>
          <w:rFonts w:hint="eastAsia" w:ascii="仿宋" w:hAnsi="仿宋" w:eastAsia="仿宋" w:cs="仿宋"/>
          <w:i w:val="0"/>
          <w:caps w:val="0"/>
          <w:color w:val="181717" w:themeColor="background2" w:themeShade="1A"/>
          <w:spacing w:val="0"/>
          <w:sz w:val="28"/>
          <w:szCs w:val="28"/>
          <w:u w:val="single"/>
          <w:shd w:val="clear" w:fill="FAFAFA"/>
        </w:rPr>
        <w:instrText xml:space="preserve"> HYPERLINK "http://www.66law.cn/special/baozjin/" \o "保证金" \t "https://www.66law.cn/laws/_blank" </w:instrText>
      </w:r>
      <w:r>
        <w:rPr>
          <w:rFonts w:hint="eastAsia" w:ascii="仿宋" w:hAnsi="仿宋" w:eastAsia="仿宋" w:cs="仿宋"/>
          <w:i w:val="0"/>
          <w:caps w:val="0"/>
          <w:color w:val="181717" w:themeColor="background2" w:themeShade="1A"/>
          <w:spacing w:val="0"/>
          <w:sz w:val="28"/>
          <w:szCs w:val="28"/>
          <w:u w:val="single"/>
          <w:shd w:val="clear" w:fill="FAFAFA"/>
        </w:rPr>
        <w:fldChar w:fldCharType="separate"/>
      </w:r>
      <w:r>
        <w:rPr>
          <w:rStyle w:val="14"/>
          <w:rFonts w:hint="eastAsia" w:ascii="仿宋" w:hAnsi="仿宋" w:eastAsia="仿宋" w:cs="仿宋"/>
          <w:i w:val="0"/>
          <w:caps w:val="0"/>
          <w:color w:val="181717" w:themeColor="background2" w:themeShade="1A"/>
          <w:spacing w:val="0"/>
          <w:sz w:val="28"/>
          <w:szCs w:val="28"/>
          <w:u w:val="single"/>
          <w:shd w:val="clear" w:fill="FAFAFA"/>
        </w:rPr>
        <w:t>保证金</w:t>
      </w:r>
      <w:r>
        <w:rPr>
          <w:rFonts w:hint="eastAsia" w:ascii="仿宋" w:hAnsi="仿宋" w:eastAsia="仿宋" w:cs="仿宋"/>
          <w:i w:val="0"/>
          <w:caps w:val="0"/>
          <w:color w:val="181717" w:themeColor="background2" w:themeShade="1A"/>
          <w:spacing w:val="0"/>
          <w:sz w:val="28"/>
          <w:szCs w:val="28"/>
          <w:u w:val="single"/>
          <w:shd w:val="clear" w:fill="FAFAFA"/>
        </w:rPr>
        <w:fldChar w:fldCharType="end"/>
      </w:r>
      <w:r>
        <w:rPr>
          <w:rFonts w:hint="eastAsia" w:ascii="仿宋" w:hAnsi="仿宋" w:eastAsia="仿宋" w:cs="仿宋"/>
          <w:i w:val="0"/>
          <w:caps w:val="0"/>
          <w:color w:val="181717" w:themeColor="background2" w:themeShade="1A"/>
          <w:spacing w:val="0"/>
          <w:sz w:val="28"/>
          <w:szCs w:val="28"/>
          <w:shd w:val="clear" w:fill="FAFAFA"/>
        </w:rPr>
        <w:t>打入专门账户，并凭借保证金收据到拍卖公司办理报名竞买手续。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color w:val="181717" w:themeColor="background2" w:themeShade="1A"/>
          <w:sz w:val="28"/>
          <w:szCs w:val="28"/>
        </w:rPr>
      </w:pPr>
      <w:r>
        <w:rPr>
          <w:rFonts w:hint="eastAsia" w:ascii="仿宋" w:hAnsi="仿宋" w:eastAsia="仿宋" w:cs="仿宋"/>
          <w:i w:val="0"/>
          <w:caps w:val="0"/>
          <w:color w:val="181717" w:themeColor="background2" w:themeShade="1A"/>
          <w:spacing w:val="0"/>
          <w:sz w:val="28"/>
          <w:szCs w:val="28"/>
          <w:shd w:val="clear" w:fill="FAFAFA"/>
        </w:rPr>
        <w:t>拍卖成交后，竞拍人的保证金冲抵购房款，如未成交拍卖结束后将退还保证金。竞拍成功后，竞拍人除了要缴纳二手房交易中涉及的相关税费外，还要根据具体成交金额，支付给拍卖公司一定比例的佣金。佣金比例一般为房价总额的1%～5%之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420"/>
        <w:rPr>
          <w:rFonts w:hint="eastAsia" w:ascii="仿宋" w:hAnsi="仿宋" w:eastAsia="仿宋" w:cs="仿宋"/>
          <w:i w:val="0"/>
          <w:caps w:val="0"/>
          <w:color w:val="181717" w:themeColor="background2" w:themeShade="1A"/>
          <w:spacing w:val="0"/>
          <w:sz w:val="28"/>
          <w:szCs w:val="28"/>
          <w:shd w:val="clear" w:fill="FAFAFA"/>
        </w:rPr>
      </w:pPr>
      <w:r>
        <w:rPr>
          <w:rFonts w:hint="eastAsia" w:ascii="仿宋" w:hAnsi="仿宋" w:eastAsia="仿宋" w:cs="仿宋"/>
          <w:i w:val="0"/>
          <w:caps w:val="0"/>
          <w:color w:val="181717" w:themeColor="background2" w:themeShade="1A"/>
          <w:spacing w:val="0"/>
          <w:sz w:val="28"/>
          <w:szCs w:val="28"/>
          <w:shd w:val="clear" w:fill="FAFAFA"/>
        </w:rPr>
        <w:t>另外，如果被拍卖房屋所占用的土地是划拨的土地使用权，那么，在拍得房屋后办理所有权证时，还必须补缴土地出让金。因此，在参与拍卖时，还必须留心土地使用权取得问题。</w:t>
      </w:r>
      <w:bookmarkStart w:id="0" w:name="nofollow"/>
      <w:bookmarkEnd w:id="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right="0" w:firstLine="5600" w:firstLineChars="2000"/>
        <w:rPr>
          <w:rFonts w:hint="eastAsia" w:ascii="仿宋" w:hAnsi="仿宋" w:eastAsia="仿宋" w:cs="仿宋"/>
          <w:i w:val="0"/>
          <w:caps w:val="0"/>
          <w:color w:val="000000" w:themeColor="text1"/>
          <w:spacing w:val="0"/>
          <w:sz w:val="28"/>
          <w:szCs w:val="28"/>
          <w:shd w:val="clear" w:fill="FAFAFA"/>
          <w14:textFill>
            <w14:solidFill>
              <w14:schemeClr w14:val="tx1"/>
            </w14:solidFill>
          </w14:textFill>
        </w:rPr>
      </w:pPr>
      <w:r>
        <w:rPr>
          <w:rFonts w:hint="eastAsia" w:ascii="仿宋" w:hAnsi="仿宋" w:eastAsia="仿宋" w:cs="仿宋"/>
          <w:i w:val="0"/>
          <w:caps w:val="0"/>
          <w:color w:val="000000" w:themeColor="text1"/>
          <w:spacing w:val="0"/>
          <w:sz w:val="28"/>
          <w:szCs w:val="28"/>
          <w:shd w:val="clear" w:fill="FAFAFA"/>
          <w14:textFill>
            <w14:solidFill>
              <w14:schemeClr w14:val="tx1"/>
            </w14:solidFill>
          </w14:textFill>
        </w:rPr>
        <w:t>来源：华律网整理</w:t>
      </w: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收藏鉴赏</w:t>
      </w:r>
    </w:p>
    <w:p>
      <w:pPr>
        <w:bidi w:val="0"/>
        <w:ind w:firstLine="484"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pStyle w:val="6"/>
        <w:keepNext w:val="0"/>
        <w:keepLines w:val="0"/>
        <w:widowControl/>
        <w:suppressLineNumbers w:val="0"/>
        <w:rPr>
          <w:rFonts w:hint="eastAsia" w:ascii="仿宋" w:hAnsi="仿宋" w:eastAsia="仿宋" w:cs="仿宋"/>
          <w:color w:val="343434"/>
          <w:sz w:val="36"/>
          <w:szCs w:val="36"/>
        </w:rPr>
      </w:pPr>
      <w:r>
        <w:rPr>
          <w:rFonts w:hint="eastAsia"/>
          <w:lang w:val="en-US" w:eastAsia="zh-CN"/>
        </w:rPr>
        <w:tab/>
      </w:r>
      <w:r>
        <w:rPr>
          <w:rFonts w:hint="eastAsia"/>
          <w:lang w:val="en-US" w:eastAsia="zh-CN"/>
        </w:rPr>
        <w:t xml:space="preserve">              </w:t>
      </w:r>
      <w:r>
        <w:rPr>
          <w:rFonts w:hint="eastAsia" w:ascii="仿宋" w:hAnsi="仿宋" w:eastAsia="仿宋" w:cs="仿宋"/>
          <w:sz w:val="36"/>
          <w:szCs w:val="36"/>
          <w:lang w:val="en-US" w:eastAsia="zh-CN"/>
        </w:rPr>
        <w:t xml:space="preserve"> </w:t>
      </w:r>
      <w:r>
        <w:rPr>
          <w:rFonts w:hint="eastAsia" w:ascii="仿宋" w:hAnsi="仿宋" w:eastAsia="仿宋" w:cs="仿宋"/>
          <w:color w:val="343434"/>
          <w:sz w:val="36"/>
          <w:szCs w:val="36"/>
        </w:rPr>
        <w:t>艺术品拍卖市场的调整与困惑</w:t>
      </w:r>
    </w:p>
    <w:p>
      <w:pPr>
        <w:pStyle w:val="6"/>
        <w:keepNext w:val="0"/>
        <w:keepLines w:val="0"/>
        <w:widowControl/>
        <w:suppressLineNumbers w:val="0"/>
        <w:ind w:firstLine="840" w:firstLineChars="300"/>
        <w:rPr>
          <w:rFonts w:hint="eastAsia" w:ascii="仿宋" w:hAnsi="仿宋" w:eastAsia="仿宋" w:cs="仿宋"/>
          <w:color w:val="434343"/>
          <w:sz w:val="28"/>
          <w:szCs w:val="28"/>
        </w:rPr>
      </w:pPr>
      <w:r>
        <w:rPr>
          <w:rFonts w:hint="eastAsia" w:ascii="仿宋" w:hAnsi="仿宋" w:eastAsia="仿宋" w:cs="仿宋"/>
          <w:color w:val="434343"/>
          <w:sz w:val="28"/>
          <w:szCs w:val="28"/>
        </w:rPr>
        <w:t>2018年拍卖业走过了持续调整的一年，从保利、嘉德、诚轩、匡时、西泠等拍卖企业的成交情况来看，此季共上拍5.6万件拍品，同比下降10.67%，成交总额165.38亿元，同比下降20.87%。而亿元拍品方面，去年所产生的10件亿元拍品也远不及2017年的17件。令人欣慰的是，市场表现低迷，但却朝着更加“精雕细琢”的策略进行调整。此外，新藏家的强势入局和热点板块的轮动给市场释放了积极的信号，那么，2019年拍卖市场又将呈现怎样的态势呢？</w:t>
      </w:r>
    </w:p>
    <w:p>
      <w:pPr>
        <w:pStyle w:val="6"/>
        <w:keepNext w:val="0"/>
        <w:keepLines w:val="0"/>
        <w:widowControl/>
        <w:suppressLineNumbers w:val="0"/>
        <w:rPr>
          <w:rFonts w:hint="eastAsia" w:ascii="仿宋" w:hAnsi="仿宋" w:eastAsia="仿宋" w:cs="仿宋"/>
          <w:color w:val="434343"/>
          <w:sz w:val="28"/>
          <w:szCs w:val="28"/>
        </w:rPr>
      </w:pPr>
      <w:r>
        <w:rPr>
          <w:rFonts w:hint="eastAsia" w:ascii="仿宋" w:hAnsi="仿宋" w:eastAsia="仿宋" w:cs="仿宋"/>
          <w:color w:val="434343"/>
          <w:sz w:val="28"/>
          <w:szCs w:val="28"/>
        </w:rPr>
        <w:t>市场内冷外热</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据中国拍卖行业协会此前发布的数据显示，2018年1-10月文物艺术品和股权债权、房地产等拍卖业务成交额均出现了超过20%的降幅。在资金收紧、竞争激烈、优秀拍品稀缺的形势之下，各家拍卖行也面临着寒冬带来的严峻考验。2018年全年，中国嘉德交出总成交额58亿元的成绩单，北京保利也以总成交80亿元的成绩收官，但两家公司的总成交额均不如上年。从春秋两季拍卖的情况来看，2018年拍卖市场下行的趋势更为显著。一般而言，受年终企业流动资金不稳定等因素的影响，通常情况下秋拍的成绩应好于春拍，但这样的情况却未能出现在今年的拍卖市场中。据雅昌艺术网数据显示，北京保利2018年秋拍总成交额为25.5亿元，环比下降10.08%，同比下降40.5%；北京匡时秋拍总成交额为6.84亿元，环比下降54.19%，同比下降57%。而中国嘉德得益于大观夜场潘天寿《无限风光》、傅抱石《蝶恋花》等高价拍品的成交，较春拍环比增加了21.57%，但同比2017年秋拍的成绩却下降了18.6%。虽然内地拍卖市场略显低迷，但坐享关税优惠和拍品资源的香港市场却“这边风景独好”。</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作为亚洲重要的艺术市场，香港拍卖市场聚集了全亚洲最好的拍品资源和藏家资源。香港苏富比(微博)2018年总成交额高达76.8亿港元，创造了苏富比扎根亚洲以来的最好成绩。而佳士得香港则以4.636亿港元的高价释出苏轼《木石图》，创造了佳士得香港拍卖史最高单件拍品纪录。</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相较于苏富比和佳士得而言，内地拍卖行在香港市场的经验有所差距，但通过多年的市场历练，即便在内地市场不景气的形势之下，内地拍卖行在香港的表现依然可圈可点。2018年中国嘉德（香港）表现得尤为抢眼，以全年11亿港元的成绩创造了中国嘉德进驻香港市场六年以来的最好成绩，比上年增加了13%。保利香港2018年成交额为21.5亿元，虽然不及上年的28.9亿元，但在整体“钱荒”的经济形势之下，依然表现得十分稳健。</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在中央财经大学拍卖研究中心研究员季涛看来，“虽然近几年内地拍卖行已经逐渐在香港站稳脚跟，但与苏富比、佳士得等国际巨头拍卖行相比仍有较大差距。在他看来，内地拍卖行的重点仍集中在书画板块，但苏富比、佳士得每年都会有新的变化，内地拍卖行还处于“跟着走”的阶段，因此，打造更加国际化的品牌依然是内地拍卖行征战香港的努力方向”。</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板块轮动显著</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梳理今年拍卖市场的整体情况不难发现，2018年的拍卖市场古代书画板块表现平平，一向处于增长态势的当代书画板块也未能延续上扬的态势，而曾经的冷门板块古籍善本却惊喜不断，表现尤为抢眼。其中，明宣德御制《大般若波罗蜜多经》、安思远藏善本碑帖十一种以及宋刻本《石壁精舍音注唐书详节》进入“亿元俱乐部”，9件古籍善本逾千万元成交。此外，古董珍玩板块的乾隆御制洋彩“江山一统”八卦玲珑旋转笔筒、家具板块的明末清初黄花梨麒麟寿字纹圈背</w:t>
      </w:r>
    </w:p>
    <w:p>
      <w:pPr>
        <w:pStyle w:val="6"/>
        <w:keepNext w:val="0"/>
        <w:keepLines w:val="0"/>
        <w:widowControl/>
        <w:suppressLineNumbers w:val="0"/>
        <w:rPr>
          <w:rFonts w:hint="eastAsia" w:ascii="仿宋" w:hAnsi="仿宋" w:eastAsia="仿宋" w:cs="仿宋"/>
          <w:color w:val="434343"/>
          <w:sz w:val="28"/>
          <w:szCs w:val="28"/>
        </w:rPr>
      </w:pPr>
      <w:r>
        <w:rPr>
          <w:rFonts w:hint="eastAsia" w:ascii="仿宋" w:hAnsi="仿宋" w:eastAsia="仿宋" w:cs="仿宋"/>
          <w:color w:val="434343"/>
          <w:sz w:val="28"/>
          <w:szCs w:val="28"/>
        </w:rPr>
        <w:t>交椅都以令人惊喜的价格成交。</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拍卖史研究专家赵榆预测，古代书画板块估计2018年要比2017年下降20%；近现代书画因有超亿元拍品的支撑，表现算是平稳；当代书画下滑得最厉害，预计2018年会整体下滑50%多。油画总的来说比较平稳，但总成交额还是有提高的，毕竟有吴冠中的《双燕》在支撑。古籍善本和碑帖信札板块有比较大的增长，如上半年增长了近70%。季涛表示，一般来说板块的轮动是因为价格的问题，在经济下行的形势之下，以往那些价格相对较低的反而会引起藏家的关注，但对于高价拍品，藏家出手会更为谨慎，这就表现为高价拍品的滞涨。“碑帖一般都是小圈子在收藏，2018年良好的表现相信也会使得这一类拍品的价格提升。”</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令人感到遗憾的是，2018年近现代书画板块有相当数量的重量级拍品流拍。有业内人士认为，在经济环境略显疲态的形势之下，不仅拍卖行在选择拍品时格外谨慎，买家出手也更加谨慎，在双方都如此谨慎的情形之下，明星拍品的流拍也很可能与估价过高有关。同时，经过长期的培养，藏家手中的近现代书画拍品已经近乎饱和，如果估价过高的话，藏家往往不愿意出手。</w:t>
      </w:r>
    </w:p>
    <w:p>
      <w:pPr>
        <w:pStyle w:val="6"/>
        <w:keepNext w:val="0"/>
        <w:keepLines w:val="0"/>
        <w:widowControl/>
        <w:suppressLineNumbers w:val="0"/>
        <w:rPr>
          <w:rFonts w:hint="eastAsia" w:ascii="仿宋" w:hAnsi="仿宋" w:eastAsia="仿宋" w:cs="仿宋"/>
          <w:color w:val="434343"/>
          <w:sz w:val="28"/>
          <w:szCs w:val="28"/>
        </w:rPr>
      </w:pPr>
      <w:r>
        <w:rPr>
          <w:rFonts w:hint="eastAsia" w:ascii="仿宋" w:hAnsi="仿宋" w:eastAsia="仿宋" w:cs="仿宋"/>
          <w:color w:val="434343"/>
          <w:sz w:val="28"/>
          <w:szCs w:val="28"/>
        </w:rPr>
        <w:t>新藏家入局</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实际上，艺术品市场在经历了2010年的爆发期之后开始进入调整阶段，处于调整期的艺术品市场不仅是各家拍卖行策略调整的时期，同时也是新老买家调整交替的阶段，2018年的艺术品市场，买家的需求和结构性调整也愈加明显。可以看到的是，春拍中李可染的《千岩竞秀万壑争流图》、朱耷的《墨梅图》以及艾轩的《有志者》都被新买家收入囊中，而秋拍中以2.875亿元成交的潘天寿《无限风光》、以1.334亿元成交的傅抱石《蝶恋花》以及过亿成交的安思远旧藏碑帖十一种均由刚入场不久的新买家竞得。</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其实，在过去的几年中，新入场的买家大多处于观望和试水的阶段，但今年新买家的出手却</w:t>
      </w:r>
    </w:p>
    <w:p>
      <w:pPr>
        <w:pStyle w:val="6"/>
        <w:keepNext w:val="0"/>
        <w:keepLines w:val="0"/>
        <w:widowControl/>
        <w:suppressLineNumbers w:val="0"/>
        <w:rPr>
          <w:rFonts w:hint="eastAsia" w:ascii="仿宋" w:hAnsi="仿宋" w:eastAsia="仿宋" w:cs="仿宋"/>
          <w:color w:val="434343"/>
          <w:sz w:val="28"/>
          <w:szCs w:val="28"/>
        </w:rPr>
      </w:pPr>
      <w:r>
        <w:rPr>
          <w:rFonts w:hint="eastAsia" w:ascii="仿宋" w:hAnsi="仿宋" w:eastAsia="仿宋" w:cs="仿宋"/>
          <w:color w:val="434343"/>
          <w:sz w:val="28"/>
          <w:szCs w:val="28"/>
        </w:rPr>
        <w:t>十分踊跃。在季涛看来，新藏家入局很正常，大藏家来之不易，每年都会有百分之二三十的新人入场，但能够出手几千万甚至上亿的顶级新藏家并不常见。新买家的大胆出手无疑为艺术市场注入了新的活力，这也意味着新藏家从中低端拍品开始关注并参与竞拍亿元拍品。但无法忽略的是，无论是新买家还是老藏家，多数藏家仍处于年富力强的年龄阶段，要等到这批藏家的后代释出藏品还需要二三十年的时间，未来仅靠现有存量显然难以满足艺术品市场日益增长的需求，这也让“调整”和“改变”成为了这一阶段常被提及的关键词。“在买家需求量不断增长的形势之下，艺术精品在供不应求下上涨似乎不言而喻。</w:t>
      </w:r>
    </w:p>
    <w:p>
      <w:pPr>
        <w:pStyle w:val="6"/>
        <w:keepNext w:val="0"/>
        <w:keepLines w:val="0"/>
        <w:widowControl/>
        <w:suppressLineNumbers w:val="0"/>
        <w:ind w:firstLine="560" w:firstLineChars="200"/>
        <w:rPr>
          <w:rFonts w:hint="eastAsia" w:ascii="仿宋" w:hAnsi="仿宋" w:eastAsia="仿宋" w:cs="仿宋"/>
          <w:color w:val="434343"/>
          <w:sz w:val="28"/>
          <w:szCs w:val="28"/>
        </w:rPr>
      </w:pPr>
      <w:r>
        <w:rPr>
          <w:rFonts w:hint="eastAsia" w:ascii="仿宋" w:hAnsi="仿宋" w:eastAsia="仿宋" w:cs="仿宋"/>
          <w:color w:val="434343"/>
          <w:sz w:val="28"/>
          <w:szCs w:val="28"/>
        </w:rPr>
        <w:t>而那些普货艺术品只会在与精品价格拉得过大后才有可能实现补涨，这也意味着艺术品市场的爆发期不会在2019年出现。”季涛说道。</w:t>
      </w:r>
    </w:p>
    <w:p>
      <w:pPr>
        <w:pStyle w:val="6"/>
        <w:keepNext w:val="0"/>
        <w:keepLines w:val="0"/>
        <w:widowControl/>
        <w:suppressLineNumbers w:val="0"/>
        <w:ind w:firstLine="4480" w:firstLineChars="1600"/>
        <w:rPr>
          <w:rFonts w:hint="eastAsia" w:ascii="仿宋" w:hAnsi="仿宋" w:eastAsia="仿宋" w:cs="仿宋"/>
          <w:color w:val="434343"/>
          <w:sz w:val="28"/>
          <w:szCs w:val="28"/>
        </w:rPr>
      </w:pPr>
      <w:r>
        <w:rPr>
          <w:rFonts w:hint="eastAsia" w:ascii="仿宋" w:hAnsi="仿宋" w:eastAsia="仿宋" w:cs="仿宋"/>
          <w:color w:val="434343"/>
          <w:sz w:val="28"/>
          <w:szCs w:val="28"/>
        </w:rPr>
        <w:t>北京商报记者 徐磊 宗泳杉</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tabs>
          <w:tab w:val="left" w:pos="2381"/>
        </w:tabs>
        <w:bidi w:val="0"/>
        <w:ind w:firstLine="1440" w:firstLineChars="400"/>
        <w:jc w:val="left"/>
        <w:rPr>
          <w:rFonts w:hint="default" w:eastAsiaTheme="minorEastAsia"/>
          <w:lang w:val="en-US" w:eastAsia="zh-CN"/>
        </w:rPr>
      </w:pPr>
      <w:r>
        <w:rPr>
          <w:rFonts w:hint="eastAsia" w:ascii="仿宋" w:hAnsi="仿宋" w:eastAsia="仿宋" w:cs="仿宋"/>
          <w:b w:val="0"/>
          <w:i w:val="0"/>
          <w:caps w:val="0"/>
          <w:color w:val="000000"/>
          <w:spacing w:val="0"/>
          <w:sz w:val="36"/>
          <w:szCs w:val="36"/>
          <w:shd w:val="clear" w:fill="FFFFFF"/>
          <w:lang w:val="en-US" w:eastAsia="zh-CN"/>
        </w:rPr>
        <w:t>2019年3月---4月拍卖师变更名单</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tbl>
      <w:tblPr>
        <w:tblStyle w:val="8"/>
        <w:tblW w:w="11118" w:type="dxa"/>
        <w:tblInd w:w="-9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4147"/>
        <w:gridCol w:w="4279"/>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姓名</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调出公司名称</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调入公司名称</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管理号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i w:val="0"/>
                <w:caps w:val="0"/>
                <w:color w:val="333333"/>
                <w:spacing w:val="0"/>
                <w:sz w:val="28"/>
                <w:szCs w:val="28"/>
                <w:shd w:val="clear" w:fill="F5F5F5"/>
              </w:rPr>
              <w:t>刘程程</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白城市盛达拍卖有限责任公司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河北合晶拍卖有限公司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2600180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原丽娜</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山西佳合信拍卖有限公司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河北海兆拍卖有限公司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刘风宾</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邢台佰商汇拍卖拍卖有限公司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河北海兆拍卖有限公司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i w:val="0"/>
                <w:caps w:val="0"/>
                <w:color w:val="333333"/>
                <w:spacing w:val="0"/>
                <w:sz w:val="28"/>
                <w:szCs w:val="28"/>
                <w:shd w:val="clear" w:fill="DFF0D8"/>
              </w:rPr>
              <w:t>2500371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张伟</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河北库柏和拍卖有限公司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河北大德拍卖有限公司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1800120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丁锦月</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河北十方拍卖有限公司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石家庄正则拍卖有限公司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2700086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范学艳</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河北天元拍卖有限公司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保定市来源通达拍卖有限公司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2600105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何睿雅</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张家口同德拍卖有限公司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梵谷国际拍卖有限公司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齐宝熙</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河北祖仁坊拍卖有限公司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河北同利拍卖有限公司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王平</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河北天德拍卖有限公司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保定市晟元拍卖有限公司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2600131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李棣</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厦门博乐平台拍卖有限公司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保定市晟元拍卖有限公司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0902330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王魏</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保定诚信拍卖有限公司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保定市晟元拍卖有限公司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1700084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李晓</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河北瑞光拍卖有限公司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芜湖市金桥拍卖有限公司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2500358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宋方</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张家口润正拍卖有限公司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合肥途育拍卖有限公司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2400055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赵辉</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河北金恒拍卖有限公司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石家庄宁和拍卖有限公司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1700225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王飞</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辽宁华夏拍卖有限公司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河北十方拍卖有限公司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2700151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张敏</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高德拍卖张家口有限公司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河北文一拍卖有限公司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李曼</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邢台辰步拍卖有限公司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河北正合嘉拍卖有限公司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2400413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勒晓辉</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河北顺鑫拍卖有限公司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邢台领航拍卖有限公司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曹素云</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河北顺鑫拍卖有限公司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邢台领航拍卖有限公司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2500099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马俊丽</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河北泰和拍卖有限公司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邯郸市天诚拍卖有限公司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1800138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张美春</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河北华狮拍卖有限公司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盛雅国际拍卖有限公司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2200043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杨帆</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吉林鑫祥拍卖有限公司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张家口源远拍卖有限责任公司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王娜</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河北冀亨泰拍卖有限公司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河北尚隆拍卖有限公司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1700159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游洲</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河北天润拍卖有限公司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陕西佳仕德拍卖有限公司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1700258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王爱文</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山东金秋拍卖有限公司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河北春谦拍卖有限公司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崔宇娜</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北京东方大观国际拍卖有限公司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河北圣润拍卖有限公司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陈艳</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锦州益达拍卖有限公司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河北南义拍卖有限公司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2000142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李小燕</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河北尚泉拍卖有限公司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河北天润拍卖有限公司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2100065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华伟</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石家庄盛信拍卖有限公司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邯郸市华弈拍卖有限公司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张佳竹</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河北万诚拍卖有限公司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承德拍卖行有限公司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张莉娟</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河北诺圆拍卖有限公司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北京万乾通宝国际拍卖有限公司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2100498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梁向东</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河北佳典拍卖有限公司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甘肃盛世九方拍卖有限公司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0902394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李涵</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河北永安国泰拍卖有限公司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河北金恒拍卖有限公司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2200369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郭峰</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唐山市利成拍卖有限公司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高德拍卖张家口有限公司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2100089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张笑同</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河北公正拍卖有限公司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承德拍卖行有限公司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薛峰</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光彩银星拍卖有限公司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唐山市利成拍卖有限公司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1300132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林青</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河北红柏拍卖有限公司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唐山远通拍卖有限公司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1700141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李芳</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保定市诚智拍卖有限公司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河北中拍拍卖有限公司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李楠</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保定诚信拍卖有限公司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保定拍卖行有限责任公司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2800096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宋继平</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唐山市中宇拍卖有限公司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唐山市唐旺拍卖有限公司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1700112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杨义昌</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河北天元拍卖有限公司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保定拍卖行有限责任公司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0802000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孔娜</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衡水双利拍卖行有限公司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兰州昇安拍卖有限公司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吕晓琳</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大连大拍拍卖有限公司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张家口旺丰拍卖有限公司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2900111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裴振安</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河北天辰拍卖有限公司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河北诚信拍卖有限公司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2500084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李原</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张家口旺丰拍卖有限公司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山东人保拍卖有限公司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2200252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陈灿</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北京嘉益轩国际拍卖有限公司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唐山盖伦拍卖有限公司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于萍</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锦州价适得拍卖有限公司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保定圣元拍卖有限公司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2300111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常梅</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天津名正国际拍卖有限公司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河北卒道拍卖有限公司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1900191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仵荣法</w:t>
            </w:r>
          </w:p>
        </w:tc>
        <w:tc>
          <w:tcPr>
            <w:tcW w:w="4147"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沧州市海岳拍卖有限公司</w:t>
            </w:r>
          </w:p>
        </w:tc>
        <w:tc>
          <w:tcPr>
            <w:tcW w:w="4279"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宁夏微友乐比价拍卖有限公司</w:t>
            </w:r>
          </w:p>
        </w:tc>
        <w:tc>
          <w:tcPr>
            <w:tcW w:w="1618" w:type="dxa"/>
          </w:tcPr>
          <w:p>
            <w:pPr>
              <w:tabs>
                <w:tab w:val="left" w:pos="2381"/>
              </w:tabs>
              <w:bidi w:val="0"/>
              <w:jc w:val="left"/>
              <w:rPr>
                <w:rFonts w:hint="eastAsia" w:ascii="仿宋" w:hAnsi="仿宋" w:eastAsia="仿宋" w:cs="仿宋"/>
                <w:b w:val="0"/>
                <w:i w:val="0"/>
                <w:caps w:val="0"/>
                <w:color w:val="000000"/>
                <w:spacing w:val="0"/>
                <w:sz w:val="28"/>
                <w:szCs w:val="28"/>
                <w:shd w:val="clear" w:fill="FFFFFF"/>
                <w:vertAlign w:val="baseline"/>
                <w:lang w:val="en-US" w:eastAsia="zh-CN"/>
              </w:rPr>
            </w:pPr>
            <w:r>
              <w:rPr>
                <w:rFonts w:hint="eastAsia" w:ascii="仿宋" w:hAnsi="仿宋" w:eastAsia="仿宋" w:cs="仿宋"/>
                <w:b w:val="0"/>
                <w:i w:val="0"/>
                <w:caps w:val="0"/>
                <w:color w:val="000000"/>
                <w:spacing w:val="0"/>
                <w:sz w:val="28"/>
                <w:szCs w:val="28"/>
                <w:shd w:val="clear" w:fill="FFFFFF"/>
                <w:vertAlign w:val="baseline"/>
                <w:lang w:val="en-US" w:eastAsia="zh-CN"/>
              </w:rPr>
              <w:t>1800756</w:t>
            </w:r>
          </w:p>
        </w:tc>
      </w:tr>
    </w:tbl>
    <w:p>
      <w:pPr>
        <w:tabs>
          <w:tab w:val="left" w:pos="2381"/>
        </w:tabs>
        <w:bidi w:val="0"/>
        <w:ind w:firstLine="1120" w:firstLineChars="400"/>
        <w:jc w:val="left"/>
        <w:rPr>
          <w:rFonts w:hint="eastAsia" w:ascii="仿宋" w:hAnsi="仿宋" w:eastAsia="仿宋" w:cs="仿宋"/>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559F83"/>
    <w:multiLevelType w:val="singleLevel"/>
    <w:tmpl w:val="E6559F83"/>
    <w:lvl w:ilvl="0" w:tentative="0">
      <w:start w:val="6"/>
      <w:numFmt w:val="decimal"/>
      <w:suff w:val="nothing"/>
      <w:lvlText w:val="%1、"/>
      <w:lvlJc w:val="left"/>
    </w:lvl>
  </w:abstractNum>
  <w:abstractNum w:abstractNumId="1">
    <w:nsid w:val="139B647B"/>
    <w:multiLevelType w:val="singleLevel"/>
    <w:tmpl w:val="139B647B"/>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7554F3"/>
    <w:rsid w:val="0FB93759"/>
    <w:rsid w:val="117554F3"/>
    <w:rsid w:val="1DD16FDE"/>
    <w:rsid w:val="4B8D35BB"/>
    <w:rsid w:val="73551AAC"/>
    <w:rsid w:val="7B050751"/>
    <w:rsid w:val="7D910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Strong"/>
    <w:basedOn w:val="9"/>
    <w:qFormat/>
    <w:uiPriority w:val="0"/>
    <w:rPr>
      <w:b/>
    </w:rPr>
  </w:style>
  <w:style w:type="character" w:styleId="11">
    <w:name w:val="FollowedHyperlink"/>
    <w:basedOn w:val="9"/>
    <w:uiPriority w:val="0"/>
    <w:rPr>
      <w:color w:val="337AB7"/>
      <w:u w:val="none"/>
    </w:rPr>
  </w:style>
  <w:style w:type="character" w:styleId="12">
    <w:name w:val="Emphasis"/>
    <w:basedOn w:val="9"/>
    <w:qFormat/>
    <w:uiPriority w:val="0"/>
    <w:rPr>
      <w:i/>
    </w:rPr>
  </w:style>
  <w:style w:type="character" w:styleId="13">
    <w:name w:val="HTML Definition"/>
    <w:basedOn w:val="9"/>
    <w:uiPriority w:val="0"/>
    <w:rPr>
      <w:i/>
    </w:rPr>
  </w:style>
  <w:style w:type="character" w:styleId="14">
    <w:name w:val="Hyperlink"/>
    <w:basedOn w:val="9"/>
    <w:uiPriority w:val="0"/>
    <w:rPr>
      <w:color w:val="337AB7"/>
      <w:u w:val="none"/>
    </w:rPr>
  </w:style>
  <w:style w:type="character" w:styleId="15">
    <w:name w:val="HTML Code"/>
    <w:basedOn w:val="9"/>
    <w:uiPriority w:val="0"/>
    <w:rPr>
      <w:rFonts w:ascii="Consolas" w:hAnsi="Consolas" w:eastAsia="Consolas" w:cs="Consolas"/>
      <w:color w:val="C7254E"/>
      <w:sz w:val="21"/>
      <w:szCs w:val="21"/>
      <w:shd w:val="clear" w:fill="F9F2F4"/>
    </w:rPr>
  </w:style>
  <w:style w:type="character" w:styleId="16">
    <w:name w:val="HTML Keyboard"/>
    <w:basedOn w:val="9"/>
    <w:uiPriority w:val="0"/>
    <w:rPr>
      <w:rFonts w:hint="default" w:ascii="Consolas" w:hAnsi="Consolas" w:eastAsia="Consolas" w:cs="Consolas"/>
      <w:color w:val="FFFFFF"/>
      <w:sz w:val="21"/>
      <w:szCs w:val="21"/>
      <w:shd w:val="clear" w:fill="333333"/>
    </w:rPr>
  </w:style>
  <w:style w:type="character" w:styleId="17">
    <w:name w:val="HTML Sample"/>
    <w:basedOn w:val="9"/>
    <w:uiPriority w:val="0"/>
    <w:rPr>
      <w:rFonts w:hint="default" w:ascii="Consolas" w:hAnsi="Consolas" w:eastAsia="Consolas" w:cs="Consolas"/>
      <w:sz w:val="21"/>
      <w:szCs w:val="21"/>
    </w:rPr>
  </w:style>
  <w:style w:type="character" w:customStyle="1" w:styleId="18">
    <w:name w:val="on"/>
    <w:basedOn w:val="9"/>
    <w:uiPriority w:val="0"/>
    <w:rPr>
      <w:shd w:val="clear" w:fill="FFFFFF"/>
    </w:rPr>
  </w:style>
  <w:style w:type="character" w:customStyle="1" w:styleId="19">
    <w:name w:val="title-red"/>
    <w:basedOn w:val="9"/>
    <w:uiPriority w:val="0"/>
    <w:rPr>
      <w:b/>
      <w:color w:val="FFFFFF"/>
      <w:sz w:val="21"/>
      <w:szCs w:val="21"/>
      <w:shd w:val="clear" w:fill="BE020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NUL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2019-04-26T01:43:00Z</dcterms:created>
  <dc:creator>主佑</dc:creator>
  <cp:lastModifiedBy>主佑</cp:lastModifiedBy>
  <dcterms:modified xsi:type="dcterms:W3CDTF">2019-05-10T02:06:53Z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