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143"/>
        </w:tabs>
        <w:ind w:firstLine="1325" w:firstLineChars="300"/>
        <w:rPr>
          <w:rFonts w:hint="eastAsia" w:ascii="仿宋" w:hAnsi="仿宋" w:eastAsia="仿宋" w:cs="仿宋_GB2312"/>
          <w:b/>
          <w:bCs/>
          <w:color w:val="1F4E79" w:themeColor="accent1" w:themeShade="80"/>
          <w:sz w:val="44"/>
          <w:szCs w:val="44"/>
          <w:bdr w:val="single" w:color="auto" w:sz="4" w:space="0"/>
          <w:lang w:val="en-US" w:eastAsia="zh-CN"/>
        </w:rPr>
      </w:pPr>
    </w:p>
    <w:p>
      <w:pPr>
        <w:tabs>
          <w:tab w:val="left" w:pos="2143"/>
        </w:tabs>
        <w:ind w:firstLine="1325" w:firstLineChars="300"/>
        <w:rPr>
          <w:rFonts w:hint="eastAsia" w:ascii="仿宋" w:hAnsi="仿宋" w:eastAsia="仿宋" w:cs="仿宋_GB2312"/>
          <w:b/>
          <w:bCs/>
          <w:color w:val="1F4E79" w:themeColor="accent1" w:themeShade="80"/>
          <w:sz w:val="44"/>
          <w:szCs w:val="44"/>
          <w:bdr w:val="single" w:color="auto" w:sz="4" w:space="0"/>
          <w:lang w:val="en-US" w:eastAsia="zh-CN"/>
        </w:rPr>
      </w:pPr>
    </w:p>
    <w:p>
      <w:pPr>
        <w:tabs>
          <w:tab w:val="left" w:pos="2143"/>
        </w:tabs>
        <w:ind w:firstLine="1325" w:firstLineChars="300"/>
        <w:rPr>
          <w:rFonts w:hint="eastAsia" w:ascii="仿宋" w:hAnsi="仿宋" w:eastAsia="仿宋" w:cs="仿宋_GB2312"/>
          <w:b/>
          <w:bCs/>
          <w:color w:val="1F4E79" w:themeColor="accent1" w:themeShade="80"/>
          <w:sz w:val="44"/>
          <w:szCs w:val="44"/>
          <w:bdr w:val="single" w:color="auto" w:sz="4" w:space="0"/>
          <w:lang w:val="en-US" w:eastAsia="zh-CN"/>
        </w:rPr>
      </w:pPr>
    </w:p>
    <w:p>
      <w:pPr>
        <w:tabs>
          <w:tab w:val="left" w:pos="2143"/>
        </w:tabs>
        <w:ind w:firstLine="1325" w:firstLineChars="300"/>
        <w:rPr>
          <w:rFonts w:hint="eastAsia" w:ascii="仿宋" w:hAnsi="仿宋" w:eastAsia="仿宋" w:cs="仿宋_GB2312"/>
          <w:b/>
          <w:bCs/>
          <w:color w:val="1F4E79" w:themeColor="accent1" w:themeShade="80"/>
          <w:sz w:val="44"/>
          <w:szCs w:val="44"/>
          <w:bdr w:val="single" w:color="auto" w:sz="4" w:space="0"/>
          <w:lang w:val="en-US" w:eastAsia="zh-CN"/>
        </w:rPr>
      </w:pPr>
    </w:p>
    <w:p>
      <w:pPr>
        <w:tabs>
          <w:tab w:val="left" w:pos="2143"/>
        </w:tabs>
        <w:ind w:firstLine="1325" w:firstLineChars="300"/>
        <w:rPr>
          <w:rFonts w:hint="eastAsia" w:ascii="仿宋" w:hAnsi="仿宋" w:eastAsia="仿宋" w:cs="仿宋_GB2312"/>
          <w:b/>
          <w:bCs/>
          <w:color w:val="1F4E79" w:themeColor="accent1" w:themeShade="80"/>
          <w:sz w:val="44"/>
          <w:szCs w:val="44"/>
          <w:bdr w:val="single" w:color="auto" w:sz="4" w:space="0"/>
          <w:lang w:val="en-US" w:eastAsia="zh-CN"/>
        </w:rPr>
      </w:pPr>
    </w:p>
    <w:p>
      <w:pPr>
        <w:tabs>
          <w:tab w:val="left" w:pos="2143"/>
        </w:tabs>
        <w:ind w:firstLine="1325" w:firstLineChars="300"/>
        <w:rPr>
          <w:rFonts w:hint="eastAsia" w:ascii="仿宋" w:hAnsi="仿宋" w:eastAsia="仿宋" w:cs="仿宋_GB2312"/>
          <w:b/>
          <w:bCs/>
          <w:color w:val="1F4E79" w:themeColor="accent1" w:themeShade="80"/>
          <w:sz w:val="44"/>
          <w:szCs w:val="44"/>
          <w:bdr w:val="single" w:color="auto" w:sz="4" w:space="0"/>
          <w:lang w:val="en-US" w:eastAsia="zh-CN"/>
        </w:rPr>
      </w:pPr>
    </w:p>
    <w:p>
      <w:pPr>
        <w:tabs>
          <w:tab w:val="left" w:pos="2143"/>
        </w:tabs>
        <w:ind w:firstLine="1325" w:firstLineChars="300"/>
        <w:rPr>
          <w:rFonts w:hint="eastAsia" w:ascii="仿宋" w:hAnsi="仿宋" w:eastAsia="仿宋" w:cs="仿宋_GB2312"/>
          <w:b/>
          <w:bCs/>
          <w:color w:val="1F4E79" w:themeColor="accent1" w:themeShade="80"/>
          <w:sz w:val="44"/>
          <w:szCs w:val="44"/>
          <w:bdr w:val="single" w:color="auto" w:sz="4" w:space="0"/>
          <w:lang w:val="en-US" w:eastAsia="zh-CN"/>
        </w:rPr>
      </w:pPr>
    </w:p>
    <w:p>
      <w:pPr>
        <w:tabs>
          <w:tab w:val="left" w:pos="2143"/>
        </w:tabs>
        <w:ind w:firstLine="1325" w:firstLineChars="300"/>
        <w:rPr>
          <w:rFonts w:hint="eastAsia" w:ascii="仿宋" w:hAnsi="仿宋" w:eastAsia="仿宋" w:cs="仿宋_GB2312"/>
          <w:b/>
          <w:bCs/>
          <w:color w:val="1F4E79" w:themeColor="accent1" w:themeShade="80"/>
          <w:sz w:val="44"/>
          <w:szCs w:val="44"/>
          <w:bdr w:val="single" w:color="auto" w:sz="4" w:space="0"/>
          <w:lang w:val="en-US" w:eastAsia="zh-CN"/>
        </w:rPr>
      </w:pPr>
    </w:p>
    <w:p>
      <w:pPr>
        <w:tabs>
          <w:tab w:val="left" w:pos="2143"/>
        </w:tabs>
        <w:ind w:firstLine="883" w:firstLineChars="200"/>
        <w:rPr>
          <w:rFonts w:hint="eastAsia" w:eastAsiaTheme="minorEastAsia"/>
          <w:lang w:eastAsia="zh-CN"/>
        </w:rPr>
      </w:pPr>
      <w:r>
        <w:rPr>
          <w:rFonts w:hint="eastAsia" w:ascii="仿宋" w:hAnsi="仿宋" w:eastAsia="仿宋" w:cs="仿宋_GB2312"/>
          <w:b/>
          <w:bCs/>
          <w:color w:val="1F4E79" w:themeColor="accent1" w:themeShade="80"/>
          <w:sz w:val="44"/>
          <w:szCs w:val="44"/>
          <w:bdr w:val="single" w:color="auto" w:sz="4" w:space="0"/>
          <w:lang w:val="en-US" w:eastAsia="zh-CN"/>
        </w:rPr>
        <w:t xml:space="preserve">   </w:t>
      </w:r>
      <w:r>
        <w:rPr>
          <w:rFonts w:hint="eastAsia" w:ascii="仿宋" w:hAnsi="仿宋" w:eastAsia="仿宋" w:cs="仿宋_GB2312"/>
          <w:b/>
          <w:bCs/>
          <w:color w:val="1F4E79" w:themeColor="accent1" w:themeShade="80"/>
          <w:sz w:val="84"/>
          <w:szCs w:val="84"/>
          <w:bdr w:val="single" w:color="auto" w:sz="4" w:space="0"/>
          <w:lang w:val="en-US" w:eastAsia="zh-CN"/>
        </w:rPr>
        <w:t xml:space="preserve">冀拍通讯   </w:t>
      </w:r>
    </w:p>
    <w:p/>
    <w:p>
      <w:pPr>
        <w:tabs>
          <w:tab w:val="left" w:pos="2533"/>
        </w:tabs>
        <w:ind w:firstLine="1560" w:firstLineChars="300"/>
        <w:jc w:val="left"/>
        <w:rPr>
          <w:rFonts w:hint="eastAsia" w:ascii="仿宋" w:hAnsi="仿宋" w:eastAsia="仿宋" w:cs="仿宋"/>
          <w:b w:val="0"/>
          <w:i w:val="0"/>
          <w:caps w:val="0"/>
          <w:color w:val="0D0D0D" w:themeColor="text1" w:themeTint="F2"/>
          <w:spacing w:val="0"/>
          <w:kern w:val="2"/>
          <w:sz w:val="52"/>
          <w:szCs w:val="52"/>
          <w:shd w:val="clear" w:fill="FFFFFF"/>
          <w:lang w:val="en-US" w:eastAsia="zh-CN" w:bidi="ar-SA"/>
          <w14:textFill>
            <w14:solidFill>
              <w14:schemeClr w14:val="tx1">
                <w14:lumMod w14:val="95000"/>
                <w14:lumOff w14:val="5000"/>
              </w14:schemeClr>
            </w14:solidFill>
          </w14:textFill>
        </w:rPr>
      </w:pPr>
    </w:p>
    <w:p>
      <w:pPr>
        <w:tabs>
          <w:tab w:val="left" w:pos="2533"/>
        </w:tabs>
        <w:ind w:firstLine="1560" w:firstLineChars="300"/>
        <w:jc w:val="left"/>
        <w:rPr>
          <w:rFonts w:hint="eastAsia" w:ascii="仿宋" w:hAnsi="仿宋" w:eastAsia="仿宋" w:cs="仿宋"/>
          <w:b w:val="0"/>
          <w:i w:val="0"/>
          <w:caps w:val="0"/>
          <w:color w:val="0D0D0D" w:themeColor="text1" w:themeTint="F2"/>
          <w:spacing w:val="0"/>
          <w:kern w:val="2"/>
          <w:sz w:val="52"/>
          <w:szCs w:val="52"/>
          <w:shd w:val="clear" w:fill="FFFFFF"/>
          <w:lang w:val="en-US" w:eastAsia="zh-CN" w:bidi="ar-SA"/>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kern w:val="2"/>
          <w:sz w:val="52"/>
          <w:szCs w:val="52"/>
          <w:shd w:val="clear" w:fill="FFFFFF"/>
          <w:lang w:val="en-US" w:eastAsia="zh-CN" w:bidi="ar-SA"/>
          <w14:textFill>
            <w14:solidFill>
              <w14:schemeClr w14:val="tx1">
                <w14:lumMod w14:val="95000"/>
                <w14:lumOff w14:val="5000"/>
              </w14:schemeClr>
            </w14:solidFill>
          </w14:textFill>
        </w:rPr>
        <w:t>二O一八年第四期</w:t>
      </w:r>
    </w:p>
    <w:p/>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仿宋" w:hAnsi="仿宋" w:eastAsia="仿宋" w:cs="仿宋"/>
          <w:color w:val="181717" w:themeColor="background2" w:themeShade="19"/>
          <w:sz w:val="28"/>
          <w:szCs w:val="28"/>
        </w:rPr>
      </w:pP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仿宋" w:hAnsi="仿宋" w:eastAsia="仿宋" w:cs="仿宋"/>
          <w:color w:val="181717" w:themeColor="background2" w:themeShade="19"/>
          <w:sz w:val="28"/>
          <w:szCs w:val="28"/>
        </w:rPr>
      </w:pP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仿宋" w:hAnsi="仿宋" w:eastAsia="仿宋" w:cs="仿宋"/>
          <w:color w:val="181717" w:themeColor="background2" w:themeShade="19"/>
          <w:sz w:val="28"/>
          <w:szCs w:val="28"/>
          <w:lang w:eastAsia="zh-CN"/>
        </w:rPr>
      </w:pP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sz w:val="28"/>
          <w:szCs w:val="28"/>
          <w:lang w:eastAsia="zh-CN"/>
        </w:rPr>
        <w:t>协会动态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361" w:right="0" w:hanging="281" w:hangingChars="100"/>
        <w:rPr>
          <w:rFonts w:hint="eastAsia" w:ascii="仿宋" w:hAnsi="仿宋" w:eastAsia="仿宋" w:cs="仿宋"/>
          <w:i w:val="0"/>
          <w:caps w:val="0"/>
          <w:color w:val="181717" w:themeColor="background2" w:themeShade="19"/>
          <w:spacing w:val="8"/>
          <w:sz w:val="28"/>
          <w:szCs w:val="28"/>
          <w:shd w:val="clear" w:fill="FFFFFF"/>
        </w:rPr>
      </w:pPr>
      <w:r>
        <w:rPr>
          <w:rFonts w:hint="eastAsia" w:ascii="仿宋" w:hAnsi="仿宋" w:eastAsia="仿宋" w:cs="仿宋"/>
          <w:color w:val="181717" w:themeColor="background2" w:themeShade="19"/>
          <w:sz w:val="28"/>
          <w:szCs w:val="28"/>
        </w:rPr>
        <w:t>△</w:t>
      </w:r>
      <w:r>
        <w:rPr>
          <w:rFonts w:hint="eastAsia" w:ascii="仿宋" w:hAnsi="仿宋" w:eastAsia="仿宋" w:cs="仿宋"/>
          <w:i w:val="0"/>
          <w:caps w:val="0"/>
          <w:color w:val="181717" w:themeColor="background2" w:themeShade="19"/>
          <w:spacing w:val="8"/>
          <w:sz w:val="28"/>
          <w:szCs w:val="28"/>
          <w:shd w:val="clear" w:fill="FFFFFF"/>
        </w:rPr>
        <w:t>河北省拍卖行业协会首次举办“高级管理人员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361" w:right="0" w:hanging="297" w:hangingChars="100"/>
        <w:rPr>
          <w:rFonts w:hint="eastAsia" w:ascii="仿宋" w:hAnsi="仿宋" w:eastAsia="仿宋" w:cs="仿宋"/>
          <w:i w:val="0"/>
          <w:caps w:val="0"/>
          <w:color w:val="181717" w:themeColor="background2" w:themeShade="19"/>
          <w:spacing w:val="8"/>
          <w:sz w:val="28"/>
          <w:szCs w:val="28"/>
          <w:lang w:val="en-US" w:eastAsia="zh-CN"/>
        </w:rPr>
      </w:pPr>
      <w:r>
        <w:rPr>
          <w:rFonts w:hint="eastAsia" w:ascii="仿宋" w:hAnsi="仿宋" w:eastAsia="仿宋" w:cs="仿宋"/>
          <w:i w:val="0"/>
          <w:caps w:val="0"/>
          <w:color w:val="181717" w:themeColor="background2" w:themeShade="19"/>
          <w:spacing w:val="8"/>
          <w:sz w:val="28"/>
          <w:szCs w:val="28"/>
          <w:shd w:val="clear" w:fill="FFFFFF"/>
        </w:rPr>
        <w:t>专业培训班”圆满结束</w:t>
      </w: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sz w:val="28"/>
          <w:szCs w:val="28"/>
          <w:lang w:val="en-US" w:eastAsia="zh-CN"/>
        </w:rPr>
        <w:t>(3)</w:t>
      </w:r>
    </w:p>
    <w:p>
      <w:pPr>
        <w:spacing w:line="460" w:lineRule="exact"/>
        <w:rPr>
          <w:rFonts w:hint="eastAsia" w:ascii="仿宋" w:hAnsi="仿宋" w:eastAsia="仿宋" w:cs="仿宋"/>
          <w:b/>
          <w:bCs/>
          <w:color w:val="181717" w:themeColor="background2" w:themeShade="19"/>
          <w:sz w:val="28"/>
          <w:szCs w:val="28"/>
          <w:bdr w:val="single" w:color="auto" w:sz="4" w:space="0"/>
        </w:rPr>
      </w:pP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sz w:val="28"/>
          <w:szCs w:val="28"/>
          <w:lang w:eastAsia="zh-CN"/>
        </w:rPr>
        <w:t>通知文告</w:t>
      </w:r>
    </w:p>
    <w:p>
      <w:pPr>
        <w:jc w:val="both"/>
        <w:rPr>
          <w:rFonts w:hint="eastAsia" w:ascii="仿宋" w:hAnsi="仿宋" w:eastAsia="仿宋" w:cs="仿宋"/>
          <w:color w:val="181717" w:themeColor="background2" w:themeShade="19"/>
          <w:sz w:val="28"/>
          <w:szCs w:val="28"/>
          <w:lang w:val="en-US" w:eastAsia="zh-CN"/>
        </w:rPr>
      </w:pP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kern w:val="2"/>
          <w:sz w:val="28"/>
          <w:szCs w:val="28"/>
          <w:lang w:val="en-US" w:eastAsia="zh-CN" w:bidi="ar-SA"/>
        </w:rPr>
        <w:tab/>
      </w:r>
      <w:r>
        <w:rPr>
          <w:rFonts w:hint="eastAsia" w:ascii="仿宋" w:hAnsi="仿宋" w:eastAsia="仿宋" w:cs="仿宋"/>
          <w:color w:val="181717" w:themeColor="background2" w:themeShade="19"/>
          <w:sz w:val="28"/>
          <w:szCs w:val="28"/>
        </w:rPr>
        <w:t>关于</w:t>
      </w:r>
      <w:r>
        <w:rPr>
          <w:rFonts w:hint="eastAsia" w:ascii="仿宋" w:hAnsi="仿宋" w:eastAsia="仿宋" w:cs="仿宋"/>
          <w:color w:val="181717" w:themeColor="background2" w:themeShade="19"/>
          <w:sz w:val="28"/>
          <w:szCs w:val="28"/>
          <w:lang w:eastAsia="zh-CN"/>
        </w:rPr>
        <w:t>对热衷慈善事业的爱心企业捐款情况的通报</w:t>
      </w: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sz w:val="28"/>
          <w:szCs w:val="28"/>
          <w:lang w:val="en-US" w:eastAsia="zh-CN"/>
        </w:rPr>
        <w:t>(10)</w:t>
      </w:r>
    </w:p>
    <w:p>
      <w:pPr>
        <w:pStyle w:val="6"/>
        <w:keepNext w:val="0"/>
        <w:keepLines w:val="0"/>
        <w:widowControl/>
        <w:suppressLineNumbers w:val="0"/>
        <w:spacing w:line="21" w:lineRule="atLeast"/>
        <w:jc w:val="both"/>
        <w:rPr>
          <w:rFonts w:hint="eastAsia" w:ascii="仿宋" w:hAnsi="仿宋" w:eastAsia="仿宋" w:cs="仿宋"/>
          <w:color w:val="181717" w:themeColor="background2" w:themeShade="19"/>
          <w:sz w:val="28"/>
          <w:szCs w:val="28"/>
          <w:lang w:val="en-US" w:eastAsia="zh-CN"/>
        </w:rPr>
      </w:pP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kern w:val="2"/>
          <w:sz w:val="28"/>
          <w:szCs w:val="28"/>
          <w:lang w:val="en-US" w:eastAsia="zh-CN" w:bidi="ar-SA"/>
        </w:rPr>
        <w:tab/>
      </w:r>
      <w:r>
        <w:rPr>
          <w:rStyle w:val="8"/>
          <w:rFonts w:hint="eastAsia" w:ascii="仿宋" w:hAnsi="仿宋" w:eastAsia="仿宋" w:cs="仿宋"/>
          <w:b/>
          <w:color w:val="181717" w:themeColor="background2" w:themeShade="19"/>
          <w:sz w:val="28"/>
          <w:szCs w:val="28"/>
        </w:rPr>
        <w:t>关于2018年度文物拍卖人员培训的通知</w:t>
      </w: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sz w:val="28"/>
          <w:szCs w:val="28"/>
          <w:lang w:val="en-US" w:eastAsia="zh-CN"/>
        </w:rPr>
        <w:t>(11)</w:t>
      </w:r>
    </w:p>
    <w:p>
      <w:pPr>
        <w:spacing w:line="460" w:lineRule="exact"/>
        <w:rPr>
          <w:rFonts w:hint="eastAsia" w:ascii="仿宋" w:hAnsi="仿宋" w:eastAsia="仿宋" w:cs="仿宋"/>
          <w:b/>
          <w:bCs/>
          <w:color w:val="181717" w:themeColor="background2" w:themeShade="19"/>
          <w:sz w:val="28"/>
          <w:szCs w:val="28"/>
          <w:bdr w:val="single" w:color="auto" w:sz="4" w:space="0"/>
          <w:lang w:val="en-US" w:eastAsia="zh-CN"/>
        </w:rPr>
      </w:pP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sz w:val="28"/>
          <w:szCs w:val="28"/>
          <w:lang w:eastAsia="zh-CN"/>
        </w:rPr>
        <w:t>行业资讯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right="0"/>
        <w:rPr>
          <w:rFonts w:hint="eastAsia" w:ascii="仿宋" w:hAnsi="仿宋" w:eastAsia="仿宋" w:cs="仿宋"/>
          <w:b/>
          <w:i w:val="0"/>
          <w:caps w:val="0"/>
          <w:color w:val="181717" w:themeColor="background2" w:themeShade="19"/>
          <w:spacing w:val="0"/>
          <w:sz w:val="28"/>
          <w:szCs w:val="28"/>
          <w:lang w:val="en-US" w:eastAsia="zh-CN"/>
        </w:rPr>
      </w:pPr>
      <w:r>
        <w:rPr>
          <w:rFonts w:hint="eastAsia" w:ascii="仿宋" w:hAnsi="仿宋" w:eastAsia="仿宋" w:cs="仿宋"/>
          <w:color w:val="181717" w:themeColor="background2" w:themeShade="19"/>
          <w:sz w:val="28"/>
          <w:szCs w:val="28"/>
        </w:rPr>
        <w:t>△</w:t>
      </w:r>
      <w:r>
        <w:rPr>
          <w:rFonts w:hint="eastAsia" w:ascii="仿宋" w:hAnsi="仿宋" w:eastAsia="仿宋" w:cs="仿宋"/>
          <w:b/>
          <w:i w:val="0"/>
          <w:caps w:val="0"/>
          <w:color w:val="181717" w:themeColor="background2" w:themeShade="19"/>
          <w:spacing w:val="0"/>
          <w:sz w:val="28"/>
          <w:szCs w:val="28"/>
          <w:shd w:val="clear" w:fill="FFFFFF"/>
        </w:rPr>
        <w:t>五部门联合印发《涉案文物鉴定评估管理办法》</w:t>
      </w: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sz w:val="28"/>
          <w:szCs w:val="28"/>
          <w:lang w:eastAsia="zh-CN"/>
        </w:rPr>
        <w:t>（</w:t>
      </w:r>
      <w:r>
        <w:rPr>
          <w:rFonts w:hint="eastAsia" w:ascii="仿宋" w:hAnsi="仿宋" w:eastAsia="仿宋" w:cs="仿宋"/>
          <w:color w:val="181717" w:themeColor="background2" w:themeShade="19"/>
          <w:sz w:val="28"/>
          <w:szCs w:val="28"/>
          <w:lang w:val="en-US" w:eastAsia="zh-CN"/>
        </w:rPr>
        <w:t>14）</w:t>
      </w:r>
    </w:p>
    <w:p>
      <w:pPr>
        <w:spacing w:line="460" w:lineRule="exact"/>
        <w:rPr>
          <w:rFonts w:hint="eastAsia" w:ascii="仿宋" w:hAnsi="仿宋" w:eastAsia="仿宋" w:cs="仿宋"/>
          <w:b/>
          <w:bCs/>
          <w:color w:val="181717" w:themeColor="background2" w:themeShade="19"/>
          <w:sz w:val="28"/>
          <w:szCs w:val="28"/>
          <w:bdr w:val="single" w:color="auto" w:sz="4" w:space="0"/>
          <w:lang w:val="en-US" w:eastAsia="zh-CN"/>
        </w:rPr>
      </w:pP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sz w:val="28"/>
          <w:szCs w:val="28"/>
          <w:lang w:eastAsia="zh-CN"/>
        </w:rPr>
        <w:t>拍卖论坛</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仿宋" w:hAnsi="仿宋" w:eastAsia="仿宋" w:cs="仿宋"/>
          <w:b/>
          <w:bCs/>
          <w:color w:val="181717" w:themeColor="background2" w:themeShade="19"/>
          <w:sz w:val="28"/>
          <w:szCs w:val="28"/>
          <w:bdr w:val="single" w:color="auto" w:sz="4" w:space="0"/>
          <w:lang w:val="en-US" w:eastAsia="zh-CN"/>
        </w:rPr>
      </w:pP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kern w:val="2"/>
          <w:sz w:val="28"/>
          <w:szCs w:val="28"/>
          <w:lang w:val="en-US" w:eastAsia="zh-CN" w:bidi="ar-SA"/>
        </w:rPr>
        <w:t>茶器拍卖 看小物件大手笔</w:t>
      </w: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sz w:val="28"/>
          <w:szCs w:val="28"/>
          <w:lang w:eastAsia="zh-CN"/>
        </w:rPr>
        <w:t>（</w:t>
      </w:r>
      <w:r>
        <w:rPr>
          <w:rFonts w:hint="eastAsia" w:ascii="仿宋" w:hAnsi="仿宋" w:eastAsia="仿宋" w:cs="仿宋"/>
          <w:color w:val="181717" w:themeColor="background2" w:themeShade="19"/>
          <w:sz w:val="28"/>
          <w:szCs w:val="28"/>
          <w:lang w:val="en-US" w:eastAsia="zh-CN"/>
        </w:rPr>
        <w:t>32）</w:t>
      </w:r>
    </w:p>
    <w:p>
      <w:pPr>
        <w:tabs>
          <w:tab w:val="left" w:pos="2908"/>
        </w:tabs>
        <w:jc w:val="left"/>
        <w:rPr>
          <w:rFonts w:hint="eastAsia" w:ascii="仿宋" w:hAnsi="仿宋" w:eastAsia="仿宋" w:cs="仿宋"/>
          <w:color w:val="181717" w:themeColor="background2" w:themeShade="19"/>
          <w:kern w:val="2"/>
          <w:sz w:val="28"/>
          <w:szCs w:val="28"/>
          <w:lang w:val="en-US" w:eastAsia="zh-CN" w:bidi="ar-SA"/>
        </w:rPr>
      </w:pP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kern w:val="2"/>
          <w:sz w:val="28"/>
          <w:szCs w:val="28"/>
          <w:lang w:val="en-US" w:eastAsia="zh-CN" w:bidi="ar-SA"/>
        </w:rPr>
        <w:t>精准扶贫 拍卖大有可为</w:t>
      </w: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sz w:val="28"/>
          <w:szCs w:val="28"/>
          <w:lang w:eastAsia="zh-CN"/>
        </w:rPr>
        <w:t>（</w:t>
      </w:r>
      <w:r>
        <w:rPr>
          <w:rFonts w:hint="eastAsia" w:ascii="仿宋" w:hAnsi="仿宋" w:eastAsia="仿宋" w:cs="仿宋"/>
          <w:color w:val="181717" w:themeColor="background2" w:themeShade="19"/>
          <w:sz w:val="28"/>
          <w:szCs w:val="28"/>
          <w:lang w:val="en-US" w:eastAsia="zh-CN"/>
        </w:rPr>
        <w:t>37）</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仿宋" w:hAnsi="仿宋" w:eastAsia="仿宋" w:cs="仿宋"/>
          <w:color w:val="181717" w:themeColor="background2" w:themeShade="19"/>
          <w:kern w:val="2"/>
          <w:sz w:val="28"/>
          <w:szCs w:val="28"/>
          <w:lang w:val="en-US" w:eastAsia="zh-CN" w:bidi="ar-SA"/>
        </w:rPr>
      </w:pP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kern w:val="2"/>
          <w:sz w:val="28"/>
          <w:szCs w:val="28"/>
          <w:lang w:val="en-US" w:eastAsia="zh-CN" w:bidi="ar-SA"/>
        </w:rPr>
        <w:t>拍企营销</w:t>
      </w:r>
    </w:p>
    <w:p>
      <w:pPr>
        <w:spacing w:line="460" w:lineRule="exact"/>
        <w:rPr>
          <w:rFonts w:hint="eastAsia" w:ascii="仿宋" w:hAnsi="仿宋" w:eastAsia="仿宋" w:cs="仿宋"/>
          <w:b/>
          <w:bCs/>
          <w:color w:val="181717" w:themeColor="background2" w:themeShade="19"/>
          <w:sz w:val="28"/>
          <w:szCs w:val="28"/>
          <w:bdr w:val="single" w:color="auto" w:sz="4" w:space="0"/>
          <w:lang w:val="en-US" w:eastAsia="zh-CN"/>
        </w:rPr>
      </w:pP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kern w:val="2"/>
          <w:sz w:val="28"/>
          <w:szCs w:val="28"/>
          <w:lang w:val="en-US" w:eastAsia="zh-CN" w:bidi="ar-SA"/>
        </w:rPr>
        <w:t>深耕保险全损车拍卖细分市场</w:t>
      </w: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sz w:val="28"/>
          <w:szCs w:val="28"/>
          <w:lang w:eastAsia="zh-CN"/>
        </w:rPr>
        <w:t>（</w:t>
      </w:r>
      <w:r>
        <w:rPr>
          <w:rFonts w:hint="eastAsia" w:ascii="仿宋" w:hAnsi="仿宋" w:eastAsia="仿宋" w:cs="仿宋"/>
          <w:color w:val="181717" w:themeColor="background2" w:themeShade="19"/>
          <w:sz w:val="28"/>
          <w:szCs w:val="28"/>
          <w:lang w:val="en-US" w:eastAsia="zh-CN"/>
        </w:rPr>
        <w:t>41）</w:t>
      </w:r>
    </w:p>
    <w:p>
      <w:pPr>
        <w:keepNext w:val="0"/>
        <w:keepLines w:val="0"/>
        <w:pageBreakBefore w:val="0"/>
        <w:tabs>
          <w:tab w:val="left" w:pos="763"/>
        </w:tabs>
        <w:kinsoku/>
        <w:wordWrap/>
        <w:overflowPunct/>
        <w:topLinePunct w:val="0"/>
        <w:autoSpaceDE/>
        <w:autoSpaceDN/>
        <w:bidi w:val="0"/>
        <w:adjustRightInd/>
        <w:snapToGrid/>
        <w:spacing w:line="360" w:lineRule="auto"/>
        <w:ind w:left="0" w:leftChars="0" w:right="0" w:rightChars="0" w:firstLine="0" w:firstLineChars="0"/>
        <w:jc w:val="left"/>
        <w:textAlignment w:val="auto"/>
        <w:rPr>
          <w:rFonts w:hint="eastAsia" w:ascii="仿宋" w:hAnsi="仿宋" w:eastAsia="仿宋" w:cs="仿宋"/>
          <w:color w:val="181717" w:themeColor="background2" w:themeShade="19"/>
          <w:sz w:val="28"/>
          <w:szCs w:val="28"/>
          <w:lang w:eastAsia="zh-CN"/>
        </w:rPr>
      </w:pP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sz w:val="28"/>
          <w:szCs w:val="28"/>
          <w:lang w:eastAsia="zh-CN"/>
        </w:rPr>
        <w:t>收藏鉴赏</w:t>
      </w:r>
    </w:p>
    <w:p>
      <w:pPr>
        <w:keepNext w:val="0"/>
        <w:keepLines w:val="0"/>
        <w:pageBreakBefore w:val="0"/>
        <w:tabs>
          <w:tab w:val="left" w:pos="763"/>
        </w:tabs>
        <w:kinsoku/>
        <w:wordWrap/>
        <w:overflowPunct/>
        <w:topLinePunct w:val="0"/>
        <w:autoSpaceDE/>
        <w:autoSpaceDN/>
        <w:bidi w:val="0"/>
        <w:adjustRightInd/>
        <w:snapToGrid/>
        <w:spacing w:line="360" w:lineRule="auto"/>
        <w:ind w:right="0" w:rightChars="0"/>
        <w:jc w:val="left"/>
        <w:textAlignment w:val="auto"/>
        <w:rPr>
          <w:rFonts w:hint="eastAsia" w:ascii="仿宋" w:hAnsi="仿宋" w:eastAsia="仿宋" w:cs="仿宋"/>
          <w:b/>
          <w:i w:val="0"/>
          <w:caps w:val="0"/>
          <w:color w:val="181717" w:themeColor="background2" w:themeShade="19"/>
          <w:spacing w:val="0"/>
          <w:sz w:val="28"/>
          <w:szCs w:val="28"/>
          <w:lang w:val="en-US" w:eastAsia="zh-CN"/>
        </w:rPr>
      </w:pPr>
      <w:r>
        <w:rPr>
          <w:rFonts w:hint="eastAsia" w:ascii="仿宋" w:hAnsi="仿宋" w:eastAsia="仿宋" w:cs="仿宋"/>
          <w:color w:val="181717" w:themeColor="background2" w:themeShade="19"/>
          <w:sz w:val="28"/>
          <w:szCs w:val="28"/>
        </w:rPr>
        <w:t>△</w:t>
      </w:r>
      <w:r>
        <w:rPr>
          <w:rFonts w:hint="eastAsia" w:ascii="仿宋" w:hAnsi="仿宋" w:eastAsia="仿宋" w:cs="仿宋"/>
          <w:b/>
          <w:i w:val="0"/>
          <w:caps w:val="0"/>
          <w:color w:val="181717" w:themeColor="background2" w:themeShade="19"/>
          <w:spacing w:val="0"/>
          <w:sz w:val="28"/>
          <w:szCs w:val="28"/>
          <w:shd w:val="clear" w:fill="FFFFFF"/>
        </w:rPr>
        <w:t>明清家具拍场走出低迷靠什么</w:t>
      </w: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sz w:val="28"/>
          <w:szCs w:val="28"/>
          <w:lang w:eastAsia="zh-CN"/>
        </w:rPr>
        <w:t>（</w:t>
      </w:r>
      <w:r>
        <w:rPr>
          <w:rFonts w:hint="eastAsia" w:ascii="仿宋" w:hAnsi="仿宋" w:eastAsia="仿宋" w:cs="仿宋"/>
          <w:color w:val="181717" w:themeColor="background2" w:themeShade="19"/>
          <w:sz w:val="28"/>
          <w:szCs w:val="28"/>
          <w:lang w:val="en-US" w:eastAsia="zh-CN"/>
        </w:rPr>
        <w:t>49）</w:t>
      </w:r>
    </w:p>
    <w:p>
      <w:pPr>
        <w:jc w:val="left"/>
        <w:rPr>
          <w:rFonts w:hint="eastAsia" w:ascii="仿宋" w:hAnsi="仿宋" w:eastAsia="仿宋" w:cs="仿宋"/>
          <w:color w:val="181717" w:themeColor="background2" w:themeShade="19"/>
          <w:sz w:val="28"/>
          <w:szCs w:val="28"/>
          <w:lang w:val="en-US" w:eastAsia="zh-CN"/>
        </w:rPr>
      </w:pP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sz w:val="28"/>
          <w:szCs w:val="28"/>
          <w:lang w:val="en-US" w:eastAsia="zh-CN"/>
        </w:rPr>
        <w:t>女人买包不再败家 投资回报率堪比黄金</w:t>
      </w: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sz w:val="28"/>
          <w:szCs w:val="28"/>
          <w:lang w:eastAsia="zh-CN"/>
        </w:rPr>
        <w:t>（</w:t>
      </w:r>
      <w:r>
        <w:rPr>
          <w:rFonts w:hint="eastAsia" w:ascii="仿宋" w:hAnsi="仿宋" w:eastAsia="仿宋" w:cs="仿宋"/>
          <w:color w:val="181717" w:themeColor="background2" w:themeShade="19"/>
          <w:sz w:val="28"/>
          <w:szCs w:val="28"/>
          <w:lang w:val="en-US" w:eastAsia="zh-CN"/>
        </w:rPr>
        <w:t>59）</w:t>
      </w:r>
    </w:p>
    <w:p>
      <w:pPr>
        <w:spacing w:line="460" w:lineRule="exact"/>
        <w:rPr>
          <w:rFonts w:hint="eastAsia" w:ascii="仿宋" w:hAnsi="仿宋" w:eastAsia="仿宋" w:cs="仿宋"/>
          <w:b/>
          <w:bCs/>
          <w:color w:val="181717" w:themeColor="background2" w:themeShade="19"/>
          <w:sz w:val="28"/>
          <w:szCs w:val="28"/>
          <w:bdr w:val="single" w:color="auto" w:sz="4" w:space="0"/>
          <w:lang w:val="en-US" w:eastAsia="zh-CN"/>
        </w:rPr>
      </w:pPr>
    </w:p>
    <w:p>
      <w:pPr>
        <w:rPr>
          <w:rFonts w:hint="eastAsia" w:ascii="仿宋" w:hAnsi="仿宋" w:eastAsia="仿宋" w:cs="仿宋"/>
          <w:color w:val="181717" w:themeColor="background2" w:themeShade="19"/>
          <w:sz w:val="28"/>
          <w:szCs w:val="28"/>
        </w:rPr>
      </w:pP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sz w:val="28"/>
          <w:szCs w:val="28"/>
          <w:lang w:eastAsia="zh-CN"/>
        </w:rPr>
        <w:t>拍卖师变更</w:t>
      </w:r>
    </w:p>
    <w:p>
      <w:pPr>
        <w:tabs>
          <w:tab w:val="left" w:pos="3148"/>
        </w:tabs>
        <w:jc w:val="left"/>
        <w:rPr>
          <w:rFonts w:hint="eastAsia" w:ascii="仿宋" w:hAnsi="仿宋" w:eastAsia="仿宋" w:cs="仿宋"/>
          <w:color w:val="181717" w:themeColor="background2" w:themeShade="19"/>
          <w:sz w:val="28"/>
          <w:szCs w:val="28"/>
          <w:lang w:val="en-US" w:eastAsia="zh-CN"/>
        </w:rPr>
      </w:pPr>
      <w:r>
        <w:rPr>
          <w:rFonts w:hint="eastAsia" w:ascii="仿宋" w:hAnsi="仿宋" w:eastAsia="仿宋" w:cs="仿宋"/>
          <w:color w:val="181717" w:themeColor="background2" w:themeShade="19"/>
          <w:sz w:val="28"/>
          <w:szCs w:val="28"/>
        </w:rPr>
        <w:t>△</w:t>
      </w:r>
      <w:r>
        <w:rPr>
          <w:rFonts w:hint="eastAsia" w:ascii="仿宋" w:hAnsi="仿宋" w:eastAsia="仿宋" w:cs="仿宋"/>
          <w:b w:val="0"/>
          <w:i w:val="0"/>
          <w:caps w:val="0"/>
          <w:color w:val="181717" w:themeColor="background2" w:themeShade="19"/>
          <w:spacing w:val="0"/>
          <w:sz w:val="28"/>
          <w:szCs w:val="28"/>
          <w:shd w:val="clear" w:fill="FFFFFF"/>
          <w:lang w:val="en-US" w:eastAsia="zh-CN"/>
        </w:rPr>
        <w:t>2018年6月---8月拍卖师变更名单</w:t>
      </w:r>
      <w:r>
        <w:rPr>
          <w:rFonts w:hint="eastAsia" w:ascii="仿宋" w:hAnsi="仿宋" w:eastAsia="仿宋" w:cs="仿宋"/>
          <w:color w:val="181717" w:themeColor="background2" w:themeShade="19"/>
          <w:sz w:val="28"/>
          <w:szCs w:val="28"/>
        </w:rPr>
        <w:t>……</w:t>
      </w:r>
      <w:r>
        <w:rPr>
          <w:rFonts w:hint="eastAsia" w:ascii="仿宋" w:hAnsi="仿宋" w:eastAsia="仿宋" w:cs="仿宋"/>
          <w:color w:val="181717" w:themeColor="background2" w:themeShade="19"/>
          <w:sz w:val="28"/>
          <w:szCs w:val="28"/>
          <w:lang w:val="en-US" w:eastAsia="zh-CN"/>
        </w:rPr>
        <w:t>(63</w:t>
      </w:r>
      <w:bookmarkStart w:id="2" w:name="_GoBack"/>
      <w:bookmarkEnd w:id="2"/>
      <w:r>
        <w:rPr>
          <w:rFonts w:hint="eastAsia" w:ascii="仿宋" w:hAnsi="仿宋" w:eastAsia="仿宋" w:cs="仿宋"/>
          <w:color w:val="181717" w:themeColor="background2" w:themeShade="19"/>
          <w:sz w:val="28"/>
          <w:szCs w:val="28"/>
          <w:lang w:val="en-US" w:eastAsia="zh-CN"/>
        </w:rPr>
        <w:t>)</w:t>
      </w:r>
    </w:p>
    <w:p>
      <w:pPr>
        <w:spacing w:line="460" w:lineRule="exact"/>
        <w:rPr>
          <w:rFonts w:hint="eastAsia" w:ascii="仿宋" w:hAnsi="仿宋" w:eastAsia="仿宋" w:cs="仿宋"/>
          <w:b/>
          <w:bCs/>
          <w:color w:val="181717" w:themeColor="background2" w:themeShade="19"/>
          <w:sz w:val="28"/>
          <w:szCs w:val="28"/>
          <w:bdr w:val="single" w:color="auto" w:sz="4" w:space="0"/>
          <w:lang w:val="en-US" w:eastAsia="zh-CN"/>
        </w:rPr>
      </w:pPr>
    </w:p>
    <w:p>
      <w:pPr>
        <w:spacing w:line="460" w:lineRule="exact"/>
        <w:rPr>
          <w:rFonts w:hint="eastAsia" w:ascii="仿宋" w:hAnsi="仿宋" w:eastAsia="仿宋" w:cs="仿宋"/>
          <w:b/>
          <w:bCs/>
          <w:color w:val="181717" w:themeColor="background2" w:themeShade="19"/>
          <w:sz w:val="28"/>
          <w:szCs w:val="28"/>
          <w:bdr w:val="single" w:color="auto" w:sz="4" w:space="0"/>
          <w:lang w:val="en-US" w:eastAsia="zh-CN"/>
        </w:rPr>
      </w:pPr>
    </w:p>
    <w:p>
      <w:pPr>
        <w:spacing w:line="460" w:lineRule="exact"/>
        <w:rPr>
          <w:rFonts w:hint="eastAsia" w:ascii="仿宋" w:hAnsi="仿宋" w:eastAsia="仿宋" w:cs="仿宋"/>
          <w:b/>
          <w:bCs/>
          <w:color w:val="181717" w:themeColor="background2" w:themeShade="19"/>
          <w:sz w:val="28"/>
          <w:szCs w:val="28"/>
          <w:bdr w:val="single" w:color="auto" w:sz="4" w:space="0"/>
          <w:lang w:val="en-US" w:eastAsia="zh-CN"/>
        </w:rPr>
      </w:pPr>
    </w:p>
    <w:p>
      <w:pPr>
        <w:spacing w:line="460" w:lineRule="exact"/>
        <w:rPr>
          <w:rFonts w:hint="eastAsia" w:ascii="仿宋" w:hAnsi="仿宋" w:eastAsia="仿宋" w:cs="仿宋"/>
          <w:b/>
          <w:bCs/>
          <w:color w:val="181717" w:themeColor="background2" w:themeShade="19"/>
          <w:sz w:val="28"/>
          <w:szCs w:val="28"/>
          <w:bdr w:val="single" w:color="auto" w:sz="4" w:space="0"/>
          <w:lang w:val="en-US" w:eastAsia="zh-CN"/>
        </w:rPr>
      </w:pPr>
    </w:p>
    <w:p>
      <w:pPr>
        <w:spacing w:line="460" w:lineRule="exact"/>
        <w:rPr>
          <w:rFonts w:hint="eastAsia" w:ascii="仿宋" w:hAnsi="仿宋" w:eastAsia="仿宋" w:cs="仿宋"/>
          <w:b/>
          <w:bCs/>
          <w:color w:val="181717" w:themeColor="background2" w:themeShade="19"/>
          <w:sz w:val="28"/>
          <w:szCs w:val="28"/>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r>
        <w:rPr>
          <w:rFonts w:hint="eastAsia" w:ascii="仿宋" w:hAnsi="仿宋" w:eastAsia="仿宋" w:cs="仿宋_GB2312"/>
          <w:b/>
          <w:bCs/>
          <w:sz w:val="44"/>
          <w:szCs w:val="44"/>
          <w:bdr w:val="single" w:color="auto" w:sz="4" w:space="0"/>
          <w:lang w:val="en-US" w:eastAsia="zh-CN"/>
        </w:rPr>
        <w:t>协会动态</w:t>
      </w:r>
    </w:p>
    <w:p>
      <w:pPr>
        <w:spacing w:line="460" w:lineRule="exact"/>
        <w:rPr>
          <w:rFonts w:hint="eastAsia" w:ascii="仿宋" w:hAnsi="仿宋" w:eastAsia="仿宋" w:cs="仿宋_GB2312"/>
          <w:b/>
          <w:bCs/>
          <w:sz w:val="44"/>
          <w:szCs w:val="44"/>
          <w:bdr w:val="single" w:color="auto" w:sz="4" w:space="0"/>
          <w:lang w:val="en-US" w:eastAsia="zh-CN"/>
        </w:rPr>
      </w:pPr>
    </w:p>
    <w:p/>
    <w:p/>
    <w:p>
      <w:pPr>
        <w:rPr>
          <w:rFonts w:asciiTheme="minorHAnsi" w:hAnsiTheme="minorHAnsi" w:eastAsiaTheme="minorEastAsia" w:cstheme="minorBidi"/>
          <w:kern w:val="2"/>
          <w:sz w:val="21"/>
          <w:szCs w:val="24"/>
          <w:lang w:val="en-US" w:eastAsia="zh-CN" w:bidi="ar-S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361" w:right="0" w:hanging="361" w:hangingChars="100"/>
        <w:rPr>
          <w:rFonts w:hint="eastAsia" w:ascii="仿宋" w:hAnsi="仿宋" w:eastAsia="仿宋" w:cs="仿宋"/>
          <w:i w:val="0"/>
          <w:caps w:val="0"/>
          <w:color w:val="333333"/>
          <w:spacing w:val="8"/>
          <w:sz w:val="36"/>
          <w:szCs w:val="36"/>
        </w:rPr>
      </w:pPr>
      <w:r>
        <w:rPr>
          <w:rFonts w:hint="eastAsia" w:ascii="仿宋" w:hAnsi="仿宋" w:eastAsia="仿宋" w:cs="仿宋"/>
          <w:kern w:val="2"/>
          <w:sz w:val="36"/>
          <w:szCs w:val="36"/>
          <w:lang w:val="en-US" w:eastAsia="zh-CN" w:bidi="ar-SA"/>
        </w:rPr>
        <w:tab/>
      </w:r>
      <w:r>
        <w:rPr>
          <w:rFonts w:hint="eastAsia" w:ascii="仿宋" w:hAnsi="仿宋" w:eastAsia="仿宋" w:cs="仿宋"/>
          <w:i w:val="0"/>
          <w:caps w:val="0"/>
          <w:color w:val="333333"/>
          <w:spacing w:val="8"/>
          <w:sz w:val="36"/>
          <w:szCs w:val="36"/>
          <w:shd w:val="clear" w:fill="FFFFFF"/>
        </w:rPr>
        <w:t>河北省拍卖行业协会首次举办“高级管理人员专业培训班”圆满结束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330" w:afterAutospacing="0" w:line="300" w:lineRule="atLeast"/>
        <w:ind w:left="0" w:right="0" w:firstLine="0"/>
        <w:jc w:val="left"/>
        <w:rPr>
          <w:rFonts w:hint="eastAsia" w:ascii="微软雅黑" w:hAnsi="微软雅黑" w:eastAsia="微软雅黑" w:cs="微软雅黑"/>
          <w:b w:val="0"/>
          <w:i w:val="0"/>
          <w:caps w:val="0"/>
          <w:color w:val="333333"/>
          <w:spacing w:val="8"/>
          <w:sz w:val="0"/>
          <w:szCs w:val="0"/>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eastAsia="微软雅黑"/>
          <w:lang w:eastAsia="zh-CN"/>
        </w:rPr>
      </w:pPr>
      <w:r>
        <w:rPr>
          <w:rFonts w:hint="eastAsia" w:ascii="微软雅黑" w:hAnsi="微软雅黑" w:eastAsia="微软雅黑" w:cs="微软雅黑"/>
          <w:b w:val="0"/>
          <w:i w:val="0"/>
          <w:caps w:val="0"/>
          <w:color w:val="333333"/>
          <w:spacing w:val="8"/>
          <w:sz w:val="25"/>
          <w:szCs w:val="25"/>
          <w:shd w:val="clear" w:fill="FFFFFF"/>
        </w:rPr>
        <w:drawing>
          <wp:inline distT="0" distB="0" distL="114300" distR="114300">
            <wp:extent cx="304800" cy="3048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eastAsia="微软雅黑"/>
          <w:lang w:eastAsia="zh-CN"/>
        </w:rPr>
        <w:drawing>
          <wp:inline distT="0" distB="0" distL="114300" distR="114300">
            <wp:extent cx="5272405" cy="3954145"/>
            <wp:effectExtent l="0" t="0" r="4445" b="8255"/>
            <wp:docPr id="8" name="图片 8" descr="1.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webp"/>
                    <pic:cNvPicPr>
                      <a:picLocks noChangeAspect="1"/>
                    </pic:cNvPicPr>
                  </pic:nvPicPr>
                  <pic:blipFill>
                    <a:blip r:embed="rId7"/>
                    <a:stretch>
                      <a:fillRect/>
                    </a:stretch>
                  </pic:blipFill>
                  <pic:spPr>
                    <a:xfrm>
                      <a:off x="0" y="0"/>
                      <a:ext cx="5272405" cy="395414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900"/>
        <w:jc w:val="both"/>
        <w:rPr>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900"/>
        <w:jc w:val="both"/>
        <w:rPr>
          <w:rFonts w:ascii="仿宋" w:hAnsi="仿宋" w:eastAsia="仿宋" w:cs="仿宋"/>
          <w:i w:val="0"/>
          <w:caps w:val="0"/>
          <w:color w:val="333333"/>
          <w:spacing w:val="8"/>
          <w:sz w:val="28"/>
          <w:szCs w:val="28"/>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900"/>
        <w:jc w:val="both"/>
        <w:rPr>
          <w:rFonts w:ascii="仿宋" w:hAnsi="仿宋" w:eastAsia="仿宋" w:cs="仿宋"/>
          <w:i w:val="0"/>
          <w:caps w:val="0"/>
          <w:color w:val="333333"/>
          <w:spacing w:val="8"/>
          <w:sz w:val="28"/>
          <w:szCs w:val="28"/>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900"/>
        <w:jc w:val="both"/>
        <w:rPr>
          <w:rFonts w:ascii="仿宋" w:hAnsi="仿宋" w:eastAsia="仿宋" w:cs="仿宋"/>
          <w:i w:val="0"/>
          <w:caps w:val="0"/>
          <w:color w:val="333333"/>
          <w:spacing w:val="8"/>
          <w:sz w:val="28"/>
          <w:szCs w:val="28"/>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900"/>
        <w:jc w:val="both"/>
        <w:rPr>
          <w:sz w:val="28"/>
          <w:szCs w:val="28"/>
        </w:rPr>
      </w:pPr>
      <w:r>
        <w:rPr>
          <w:rFonts w:ascii="仿宋" w:hAnsi="仿宋" w:eastAsia="仿宋" w:cs="仿宋"/>
          <w:i w:val="0"/>
          <w:caps w:val="0"/>
          <w:color w:val="333333"/>
          <w:spacing w:val="8"/>
          <w:sz w:val="28"/>
          <w:szCs w:val="28"/>
          <w:shd w:val="clear" w:fill="FFFFFF"/>
        </w:rPr>
        <w:t>8月14日，省拍协在石家庄市汇文大酒店成功举办了“河北省拍卖企业</w:t>
      </w:r>
      <w:r>
        <w:rPr>
          <w:rFonts w:hint="eastAsia" w:ascii="仿宋" w:hAnsi="仿宋" w:eastAsia="仿宋" w:cs="仿宋"/>
          <w:i w:val="0"/>
          <w:caps w:val="0"/>
          <w:color w:val="333333"/>
          <w:spacing w:val="0"/>
          <w:sz w:val="28"/>
          <w:szCs w:val="28"/>
          <w:shd w:val="clear" w:fill="FFFFFF"/>
        </w:rPr>
        <w:t>高级管理人员专业培训班”，来自拍卖企业的87人参加了此次培训。</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eastAsia="微软雅黑"/>
          <w:sz w:val="28"/>
          <w:szCs w:val="28"/>
          <w:lang w:eastAsia="zh-CN"/>
        </w:rPr>
      </w:pPr>
      <w:r>
        <w:rPr>
          <w:rFonts w:hint="eastAsia" w:ascii="微软雅黑" w:hAnsi="微软雅黑" w:eastAsia="微软雅黑" w:cs="微软雅黑"/>
          <w:b w:val="0"/>
          <w:i w:val="0"/>
          <w:caps w:val="0"/>
          <w:color w:val="333333"/>
          <w:spacing w:val="8"/>
          <w:sz w:val="28"/>
          <w:szCs w:val="28"/>
          <w:shd w:val="clear" w:fill="FFFFFF"/>
        </w:rPr>
        <w:drawing>
          <wp:inline distT="0" distB="0" distL="114300" distR="114300">
            <wp:extent cx="304800" cy="304800"/>
            <wp:effectExtent l="0" t="0" r="0" b="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eastAsia="微软雅黑"/>
          <w:sz w:val="28"/>
          <w:szCs w:val="28"/>
          <w:lang w:eastAsia="zh-CN"/>
        </w:rPr>
        <w:drawing>
          <wp:inline distT="0" distB="0" distL="114300" distR="114300">
            <wp:extent cx="5272405" cy="3954145"/>
            <wp:effectExtent l="0" t="0" r="4445" b="8255"/>
            <wp:docPr id="9" name="图片 9" descr="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webp"/>
                    <pic:cNvPicPr>
                      <a:picLocks noChangeAspect="1"/>
                    </pic:cNvPicPr>
                  </pic:nvPicPr>
                  <pic:blipFill>
                    <a:blip r:embed="rId8"/>
                    <a:stretch>
                      <a:fillRect/>
                    </a:stretch>
                  </pic:blipFill>
                  <pic:spPr>
                    <a:xfrm>
                      <a:off x="0" y="0"/>
                      <a:ext cx="5272405" cy="3954145"/>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jc w:val="both"/>
        <w:rPr>
          <w:sz w:val="28"/>
          <w:szCs w:val="28"/>
        </w:rPr>
      </w:pPr>
      <w:r>
        <w:rPr>
          <w:rFonts w:hint="eastAsia" w:ascii="仿宋" w:hAnsi="仿宋" w:eastAsia="仿宋" w:cs="仿宋"/>
          <w:b w:val="0"/>
          <w:i w:val="0"/>
          <w:caps w:val="0"/>
          <w:color w:val="333333"/>
          <w:spacing w:val="0"/>
          <w:sz w:val="28"/>
          <w:szCs w:val="28"/>
          <w:shd w:val="clear" w:fill="FFFFFF"/>
        </w:rPr>
        <w:t>这次培训对象主要是针对自2014年下半年至2018年上半年以来新设立的拍卖企业。由于近三年以来我省新设拍卖企业增速较快，许多拍卖企业的高级管理人员对行业规范认识不够、从业人员素质参差不齐、对拍卖相关法律法规不够熟悉，出现了企业经营过程中遇到问题束手无策，企业日常管理无从下手等实际情况，省拍协便组织了此次专业的拍卖基础知识和业务培训。</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b w:val="0"/>
          <w:i w:val="0"/>
          <w:caps w:val="0"/>
          <w:color w:val="333333"/>
          <w:spacing w:val="8"/>
          <w:sz w:val="28"/>
          <w:szCs w:val="28"/>
          <w:shd w:val="clear" w:fill="FFFFFF"/>
        </w:rPr>
      </w:pPr>
      <w:r>
        <w:rPr>
          <w:rFonts w:hint="eastAsia" w:ascii="微软雅黑" w:hAnsi="微软雅黑" w:eastAsia="微软雅黑" w:cs="微软雅黑"/>
          <w:b w:val="0"/>
          <w:i w:val="0"/>
          <w:caps w:val="0"/>
          <w:color w:val="333333"/>
          <w:spacing w:val="8"/>
          <w:sz w:val="28"/>
          <w:szCs w:val="28"/>
          <w:shd w:val="clear" w:fill="FFFFFF"/>
        </w:rPr>
        <w:drawing>
          <wp:inline distT="0" distB="0" distL="114300" distR="114300">
            <wp:extent cx="304800" cy="304800"/>
            <wp:effectExtent l="0" t="0" r="0"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8"/>
          <w:sz w:val="28"/>
          <w:szCs w:val="28"/>
          <w:shd w:val="clear" w:fill="FFFFFF"/>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b w:val="0"/>
          <w:i w:val="0"/>
          <w:caps w:val="0"/>
          <w:color w:val="333333"/>
          <w:spacing w:val="8"/>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3" w:firstLineChars="0"/>
        <w:jc w:val="both"/>
        <w:rPr>
          <w:rFonts w:hint="eastAsia" w:ascii="微软雅黑" w:hAnsi="微软雅黑" w:eastAsia="微软雅黑" w:cs="微软雅黑"/>
          <w:b w:val="0"/>
          <w:i w:val="0"/>
          <w:caps w:val="0"/>
          <w:color w:val="333333"/>
          <w:spacing w:val="8"/>
          <w:sz w:val="28"/>
          <w:szCs w:val="28"/>
          <w:shd w:val="clear" w:fill="FFFFFF"/>
          <w:lang w:eastAsia="zh-CN"/>
        </w:rPr>
      </w:pPr>
      <w:r>
        <w:rPr>
          <w:rFonts w:hint="eastAsia" w:ascii="微软雅黑" w:hAnsi="微软雅黑" w:eastAsia="微软雅黑" w:cs="微软雅黑"/>
          <w:b w:val="0"/>
          <w:i w:val="0"/>
          <w:caps w:val="0"/>
          <w:color w:val="333333"/>
          <w:spacing w:val="8"/>
          <w:sz w:val="28"/>
          <w:szCs w:val="28"/>
          <w:shd w:val="clear" w:fill="FFFFFF"/>
          <w:lang w:eastAsia="zh-CN"/>
        </w:rPr>
        <w:drawing>
          <wp:inline distT="0" distB="0" distL="114300" distR="114300">
            <wp:extent cx="5268595" cy="7025005"/>
            <wp:effectExtent l="0" t="0" r="8255" b="4445"/>
            <wp:docPr id="10" name="图片 10" descr="3.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webp"/>
                    <pic:cNvPicPr>
                      <a:picLocks noChangeAspect="1"/>
                    </pic:cNvPicPr>
                  </pic:nvPicPr>
                  <pic:blipFill>
                    <a:blip r:embed="rId9"/>
                    <a:stretch>
                      <a:fillRect/>
                    </a:stretch>
                  </pic:blipFill>
                  <pic:spPr>
                    <a:xfrm>
                      <a:off x="0" y="0"/>
                      <a:ext cx="5268595" cy="7025005"/>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b w:val="0"/>
          <w:i w:val="0"/>
          <w:caps w:val="0"/>
          <w:color w:val="333333"/>
          <w:spacing w:val="8"/>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80" w:firstLineChars="100"/>
        <w:jc w:val="both"/>
        <w:rPr>
          <w:rFonts w:hint="eastAsia" w:ascii="仿宋" w:hAnsi="仿宋" w:eastAsia="仿宋" w:cs="仿宋"/>
          <w:b w:val="0"/>
          <w:i w:val="0"/>
          <w:caps w:val="0"/>
          <w:color w:val="333333"/>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80" w:firstLineChars="100"/>
        <w:jc w:val="both"/>
        <w:rPr>
          <w:rFonts w:hint="eastAsia" w:ascii="仿宋" w:hAnsi="仿宋" w:eastAsia="仿宋" w:cs="仿宋"/>
          <w:b w:val="0"/>
          <w:i w:val="0"/>
          <w:caps w:val="0"/>
          <w:color w:val="333333"/>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80" w:firstLineChars="100"/>
        <w:jc w:val="both"/>
        <w:rPr>
          <w:sz w:val="28"/>
          <w:szCs w:val="28"/>
        </w:rPr>
      </w:pPr>
      <w:r>
        <w:rPr>
          <w:rFonts w:hint="eastAsia" w:ascii="仿宋" w:hAnsi="仿宋" w:eastAsia="仿宋" w:cs="仿宋"/>
          <w:b w:val="0"/>
          <w:i w:val="0"/>
          <w:caps w:val="0"/>
          <w:color w:val="333333"/>
          <w:spacing w:val="0"/>
          <w:sz w:val="28"/>
          <w:szCs w:val="28"/>
          <w:shd w:val="clear" w:fill="FFFFFF"/>
        </w:rPr>
        <w:t>我们特别邀请了刘双舟、范干平两位知名专家为大家授课，从最基础的《拍卖概论》延伸到文物艺术品拍卖典型案例和拍卖业务当中遇到的相关法律问题进行讲解。最为现场受教的是由河北省拍卖企业董事长、总经理组成的讲师团队：成虎、杨义昌、石笠峰、崔胜军，这几位入行较早的拍卖界成功人士为大家讲解“拍卖程序与实践操作”，对个别案例及疑难问题进行现场互动，与大家一起交流、辩论和探讨，使大家在轻松愉悦的学习气氛里畅所欲言，受益匪浅。另外为维护行业自律，遵守行规行约，由李兰欣会长向大家讲解有关行业管理的一些需要注意的事项和必须遵守的相关法律、法规、行规，并提出了正确规范企业管理和业务等要求。</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eastAsia="微软雅黑"/>
          <w:sz w:val="28"/>
          <w:szCs w:val="28"/>
          <w:lang w:eastAsia="zh-CN"/>
        </w:rPr>
      </w:pPr>
      <w:r>
        <w:rPr>
          <w:rFonts w:hint="eastAsia" w:ascii="微软雅黑" w:hAnsi="微软雅黑" w:eastAsia="微软雅黑" w:cs="微软雅黑"/>
          <w:b w:val="0"/>
          <w:i w:val="0"/>
          <w:caps w:val="0"/>
          <w:color w:val="333333"/>
          <w:spacing w:val="8"/>
          <w:sz w:val="28"/>
          <w:szCs w:val="28"/>
          <w:shd w:val="clear" w:fill="FFFFFF"/>
        </w:rPr>
        <w:drawing>
          <wp:inline distT="0" distB="0" distL="114300" distR="114300">
            <wp:extent cx="304800" cy="304800"/>
            <wp:effectExtent l="0" t="0" r="0" b="0"/>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eastAsia="微软雅黑"/>
          <w:sz w:val="28"/>
          <w:szCs w:val="28"/>
          <w:lang w:eastAsia="zh-CN"/>
        </w:rPr>
        <w:drawing>
          <wp:inline distT="0" distB="0" distL="114300" distR="114300">
            <wp:extent cx="5272405" cy="3954145"/>
            <wp:effectExtent l="0" t="0" r="4445" b="8255"/>
            <wp:docPr id="11" name="图片 11" descr="4.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webp"/>
                    <pic:cNvPicPr>
                      <a:picLocks noChangeAspect="1"/>
                    </pic:cNvPicPr>
                  </pic:nvPicPr>
                  <pic:blipFill>
                    <a:blip r:embed="rId10"/>
                    <a:stretch>
                      <a:fillRect/>
                    </a:stretch>
                  </pic:blipFill>
                  <pic:spPr>
                    <a:xfrm>
                      <a:off x="0" y="0"/>
                      <a:ext cx="5272405" cy="3954145"/>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b w:val="0"/>
          <w:i w:val="0"/>
          <w:caps w:val="0"/>
          <w:color w:val="333333"/>
          <w:spacing w:val="8"/>
          <w:sz w:val="28"/>
          <w:szCs w:val="28"/>
          <w:shd w:val="clear" w:fill="FFFFFF"/>
        </w:rPr>
      </w:pPr>
      <w:r>
        <w:rPr>
          <w:rFonts w:hint="eastAsia" w:ascii="微软雅黑" w:hAnsi="微软雅黑" w:eastAsia="微软雅黑" w:cs="微软雅黑"/>
          <w:b w:val="0"/>
          <w:i w:val="0"/>
          <w:caps w:val="0"/>
          <w:color w:val="333333"/>
          <w:spacing w:val="8"/>
          <w:sz w:val="28"/>
          <w:szCs w:val="28"/>
          <w:shd w:val="clear" w:fill="FFFFFF"/>
        </w:rPr>
        <w:drawing>
          <wp:inline distT="0" distB="0" distL="114300" distR="114300">
            <wp:extent cx="304800" cy="304800"/>
            <wp:effectExtent l="0" t="0" r="0"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b w:val="0"/>
          <w:i w:val="0"/>
          <w:caps w:val="0"/>
          <w:color w:val="333333"/>
          <w:spacing w:val="8"/>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b w:val="0"/>
          <w:i w:val="0"/>
          <w:caps w:val="0"/>
          <w:color w:val="333333"/>
          <w:spacing w:val="8"/>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b w:val="0"/>
          <w:i w:val="0"/>
          <w:caps w:val="0"/>
          <w:color w:val="333333"/>
          <w:spacing w:val="8"/>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eastAsia="微软雅黑"/>
          <w:sz w:val="28"/>
          <w:szCs w:val="28"/>
          <w:lang w:eastAsia="zh-CN"/>
        </w:rPr>
      </w:pPr>
      <w:r>
        <w:rPr>
          <w:rFonts w:hint="eastAsia" w:eastAsia="微软雅黑"/>
          <w:sz w:val="28"/>
          <w:szCs w:val="28"/>
          <w:lang w:eastAsia="zh-CN"/>
        </w:rPr>
        <w:drawing>
          <wp:inline distT="0" distB="0" distL="114300" distR="114300">
            <wp:extent cx="5272405" cy="3954145"/>
            <wp:effectExtent l="0" t="0" r="4445" b="8255"/>
            <wp:docPr id="12" name="图片 12" descr="5.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webp"/>
                    <pic:cNvPicPr>
                      <a:picLocks noChangeAspect="1"/>
                    </pic:cNvPicPr>
                  </pic:nvPicPr>
                  <pic:blipFill>
                    <a:blip r:embed="rId11"/>
                    <a:stretch>
                      <a:fillRect/>
                    </a:stretch>
                  </pic:blipFill>
                  <pic:spPr>
                    <a:xfrm>
                      <a:off x="0" y="0"/>
                      <a:ext cx="5272405" cy="3954145"/>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b w:val="0"/>
          <w:i w:val="0"/>
          <w:caps w:val="0"/>
          <w:color w:val="333333"/>
          <w:spacing w:val="0"/>
          <w:sz w:val="28"/>
          <w:szCs w:val="28"/>
          <w:shd w:val="clear" w:fill="FFFFFF"/>
        </w:rPr>
      </w:pPr>
      <w:r>
        <w:rPr>
          <w:rFonts w:hint="eastAsia" w:ascii="仿宋" w:hAnsi="仿宋" w:eastAsia="仿宋" w:cs="仿宋"/>
          <w:b w:val="0"/>
          <w:i w:val="0"/>
          <w:caps w:val="0"/>
          <w:color w:val="333333"/>
          <w:spacing w:val="0"/>
          <w:sz w:val="28"/>
          <w:szCs w:val="28"/>
          <w:shd w:val="clear" w:fill="FFFFFF"/>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b w:val="0"/>
          <w:i w:val="0"/>
          <w:caps w:val="0"/>
          <w:color w:val="333333"/>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b w:val="0"/>
          <w:i w:val="0"/>
          <w:caps w:val="0"/>
          <w:color w:val="333333"/>
          <w:spacing w:val="0"/>
          <w:sz w:val="28"/>
          <w:szCs w:val="28"/>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8"/>
          <w:szCs w:val="28"/>
        </w:rPr>
      </w:pPr>
      <w:r>
        <w:rPr>
          <w:rFonts w:hint="eastAsia" w:ascii="仿宋" w:hAnsi="仿宋" w:eastAsia="仿宋" w:cs="仿宋"/>
          <w:b w:val="0"/>
          <w:i w:val="0"/>
          <w:caps w:val="0"/>
          <w:color w:val="333333"/>
          <w:spacing w:val="0"/>
          <w:sz w:val="28"/>
          <w:szCs w:val="28"/>
          <w:shd w:val="clear" w:fill="FFFFFF"/>
        </w:rPr>
        <w:t>在整整三天的综合培训后，学员们首次使用手机网上登录中拍协考试系统进行网上答题，除三名考生未参加考试外，其余84名考生全部通过考试。</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eastAsia="微软雅黑"/>
          <w:sz w:val="28"/>
          <w:szCs w:val="28"/>
          <w:lang w:eastAsia="zh-CN"/>
        </w:rPr>
      </w:pPr>
      <w:r>
        <w:rPr>
          <w:rFonts w:hint="eastAsia" w:ascii="微软雅黑" w:hAnsi="微软雅黑" w:eastAsia="微软雅黑" w:cs="微软雅黑"/>
          <w:b w:val="0"/>
          <w:i w:val="0"/>
          <w:caps w:val="0"/>
          <w:color w:val="333333"/>
          <w:spacing w:val="8"/>
          <w:sz w:val="28"/>
          <w:szCs w:val="28"/>
          <w:shd w:val="clear" w:fill="FFFFFF"/>
        </w:rPr>
        <w:drawing>
          <wp:inline distT="0" distB="0" distL="114300" distR="114300">
            <wp:extent cx="304800" cy="304800"/>
            <wp:effectExtent l="0" t="0" r="0" b="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eastAsia="微软雅黑"/>
          <w:sz w:val="28"/>
          <w:szCs w:val="28"/>
          <w:lang w:eastAsia="zh-CN"/>
        </w:rPr>
        <w:drawing>
          <wp:inline distT="0" distB="0" distL="114300" distR="114300">
            <wp:extent cx="5335905" cy="4003040"/>
            <wp:effectExtent l="0" t="0" r="17145" b="16510"/>
            <wp:docPr id="13" name="图片 13" descr="6.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webp"/>
                    <pic:cNvPicPr>
                      <a:picLocks noChangeAspect="1"/>
                    </pic:cNvPicPr>
                  </pic:nvPicPr>
                  <pic:blipFill>
                    <a:blip r:embed="rId12"/>
                    <a:stretch>
                      <a:fillRect/>
                    </a:stretch>
                  </pic:blipFill>
                  <pic:spPr>
                    <a:xfrm>
                      <a:off x="0" y="0"/>
                      <a:ext cx="5335905" cy="4003040"/>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eastAsia="微软雅黑"/>
          <w:sz w:val="28"/>
          <w:szCs w:val="28"/>
          <w:lang w:eastAsia="zh-CN"/>
        </w:rPr>
      </w:pPr>
      <w:r>
        <w:rPr>
          <w:rFonts w:hint="eastAsia" w:ascii="微软雅黑" w:hAnsi="微软雅黑" w:eastAsia="微软雅黑" w:cs="微软雅黑"/>
          <w:b w:val="0"/>
          <w:i w:val="0"/>
          <w:caps w:val="0"/>
          <w:color w:val="333333"/>
          <w:spacing w:val="8"/>
          <w:sz w:val="28"/>
          <w:szCs w:val="28"/>
          <w:shd w:val="clear" w:fill="FFFFFF"/>
        </w:rPr>
        <w:drawing>
          <wp:inline distT="0" distB="0" distL="114300" distR="114300">
            <wp:extent cx="304800" cy="304800"/>
            <wp:effectExtent l="0" t="0" r="0"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eastAsia="微软雅黑"/>
          <w:sz w:val="28"/>
          <w:szCs w:val="28"/>
          <w:lang w:eastAsia="zh-CN"/>
        </w:rPr>
        <w:drawing>
          <wp:inline distT="0" distB="0" distL="114300" distR="114300">
            <wp:extent cx="5272405" cy="2965450"/>
            <wp:effectExtent l="0" t="0" r="4445" b="6350"/>
            <wp:docPr id="14" name="图片 14" descr="7.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webp"/>
                    <pic:cNvPicPr>
                      <a:picLocks noChangeAspect="1"/>
                    </pic:cNvPicPr>
                  </pic:nvPicPr>
                  <pic:blipFill>
                    <a:blip r:embed="rId13"/>
                    <a:stretch>
                      <a:fillRect/>
                    </a:stretch>
                  </pic:blipFill>
                  <pic:spPr>
                    <a:xfrm>
                      <a:off x="0" y="0"/>
                      <a:ext cx="5272405" cy="2965450"/>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jc w:val="both"/>
        <w:rPr>
          <w:sz w:val="28"/>
          <w:szCs w:val="28"/>
        </w:rPr>
      </w:pPr>
      <w:r>
        <w:rPr>
          <w:rFonts w:hint="eastAsia" w:ascii="仿宋" w:hAnsi="仿宋" w:eastAsia="仿宋" w:cs="仿宋"/>
          <w:b w:val="0"/>
          <w:i w:val="0"/>
          <w:caps w:val="0"/>
          <w:color w:val="333333"/>
          <w:spacing w:val="8"/>
          <w:sz w:val="28"/>
          <w:szCs w:val="28"/>
          <w:shd w:val="clear" w:fill="FFFFFF"/>
        </w:rPr>
        <w:t>参加陪训的学员普遍反映，此次培训班别开生面，既严肃又生动，既增长了拍卖专业知识，又明白了哪些业务能不能做，哪些是在业务当中可能遇到又能合法规避的问题等等。通过学习不仅对拍卖行业有了进一步的了解，还增加了对拍卖事业的热爱和信心，大家一致认为这样的专业培训值得继续参与和推广。</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8"/>
          <w:szCs w:val="28"/>
        </w:rPr>
      </w:pPr>
      <w:r>
        <w:rPr>
          <w:rFonts w:hint="eastAsia" w:ascii="仿宋" w:hAnsi="仿宋" w:eastAsia="仿宋" w:cs="仿宋"/>
          <w:b w:val="0"/>
          <w:i w:val="0"/>
          <w:caps w:val="0"/>
          <w:color w:val="333333"/>
          <w:spacing w:val="8"/>
          <w:sz w:val="28"/>
          <w:szCs w:val="28"/>
          <w:shd w:val="clear" w:fill="FFFFFF"/>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8"/>
          <w:szCs w:val="28"/>
        </w:rPr>
      </w:pPr>
      <w:r>
        <w:rPr>
          <w:rFonts w:hint="eastAsia" w:ascii="仿宋" w:hAnsi="仿宋" w:eastAsia="仿宋" w:cs="仿宋"/>
          <w:b w:val="0"/>
          <w:i w:val="0"/>
          <w:caps w:val="0"/>
          <w:color w:val="333333"/>
          <w:spacing w:val="8"/>
          <w:sz w:val="28"/>
          <w:szCs w:val="28"/>
          <w:shd w:val="clear" w:fill="FFFFFF"/>
        </w:rPr>
        <w:t xml:space="preserve">                      </w:t>
      </w:r>
      <w:r>
        <w:rPr>
          <w:rFonts w:hint="eastAsia" w:ascii="仿宋" w:hAnsi="仿宋" w:eastAsia="仿宋" w:cs="仿宋"/>
          <w:b w:val="0"/>
          <w:i w:val="0"/>
          <w:caps w:val="0"/>
          <w:color w:val="333333"/>
          <w:spacing w:val="8"/>
          <w:sz w:val="28"/>
          <w:szCs w:val="28"/>
          <w:shd w:val="clear" w:fill="FFFFFF"/>
          <w:lang w:val="en-US" w:eastAsia="zh-CN"/>
        </w:rPr>
        <w:t xml:space="preserve">                </w:t>
      </w:r>
      <w:r>
        <w:rPr>
          <w:rFonts w:hint="eastAsia" w:ascii="仿宋" w:hAnsi="仿宋" w:eastAsia="仿宋" w:cs="仿宋"/>
          <w:b w:val="0"/>
          <w:i w:val="0"/>
          <w:caps w:val="0"/>
          <w:color w:val="333333"/>
          <w:spacing w:val="8"/>
          <w:sz w:val="28"/>
          <w:szCs w:val="28"/>
          <w:shd w:val="clear" w:fill="FFFFFF"/>
        </w:rPr>
        <w:t>2018年8月20日</w:t>
      </w:r>
    </w:p>
    <w:p>
      <w:pPr>
        <w:spacing w:line="460" w:lineRule="exact"/>
        <w:rPr>
          <w:rFonts w:ascii="仿宋" w:hAnsi="仿宋" w:eastAsia="仿宋" w:cs="仿宋_GB2312"/>
          <w:b/>
          <w:bCs/>
          <w:sz w:val="24"/>
          <w:szCs w:val="24"/>
          <w:bdr w:val="single" w:color="auto" w:sz="4" w:space="0"/>
        </w:rPr>
      </w:pPr>
    </w:p>
    <w:p>
      <w:pPr>
        <w:spacing w:line="460" w:lineRule="exact"/>
        <w:rPr>
          <w:rFonts w:ascii="仿宋" w:hAnsi="仿宋" w:eastAsia="仿宋" w:cs="仿宋_GB2312"/>
          <w:b/>
          <w:bCs/>
          <w:sz w:val="44"/>
          <w:szCs w:val="44"/>
          <w:bdr w:val="single" w:color="auto" w:sz="4" w:space="0"/>
        </w:rPr>
      </w:pPr>
      <w:r>
        <w:rPr>
          <w:rFonts w:hint="eastAsia" w:ascii="仿宋" w:hAnsi="仿宋" w:eastAsia="仿宋" w:cs="仿宋_GB2312"/>
          <w:b/>
          <w:bCs/>
          <w:sz w:val="44"/>
          <w:szCs w:val="44"/>
          <w:bdr w:val="single" w:color="auto" w:sz="4" w:space="0"/>
          <w:lang w:val="en-US" w:eastAsia="zh-CN"/>
        </w:rPr>
        <w:t>通知文告</w:t>
      </w:r>
    </w:p>
    <w:p>
      <w:pPr>
        <w:tabs>
          <w:tab w:val="left" w:pos="913"/>
        </w:tabs>
        <w:jc w:val="left"/>
        <w:rPr>
          <w:sz w:val="24"/>
          <w:szCs w:val="24"/>
          <w:lang w:val="en-US" w:eastAsia="zh-CN"/>
        </w:rPr>
      </w:pPr>
    </w:p>
    <w:p>
      <w:pPr>
        <w:rPr>
          <w:rFonts w:asciiTheme="minorHAnsi" w:hAnsiTheme="minorHAnsi" w:eastAsiaTheme="minorEastAsia" w:cstheme="minorBidi"/>
          <w:kern w:val="2"/>
          <w:sz w:val="24"/>
          <w:szCs w:val="24"/>
          <w:lang w:val="en-US" w:eastAsia="zh-CN" w:bidi="ar-SA"/>
        </w:rPr>
      </w:pPr>
    </w:p>
    <w:p>
      <w:pPr>
        <w:rPr>
          <w:rFonts w:asciiTheme="minorHAnsi" w:hAnsiTheme="minorHAnsi" w:eastAsiaTheme="minorEastAsia" w:cstheme="minorBidi"/>
          <w:kern w:val="2"/>
          <w:sz w:val="24"/>
          <w:szCs w:val="24"/>
          <w:lang w:val="en-US" w:eastAsia="zh-CN" w:bidi="ar-SA"/>
        </w:rPr>
      </w:pPr>
    </w:p>
    <w:p>
      <w:pPr>
        <w:ind w:firstLine="720" w:firstLineChars="300"/>
        <w:jc w:val="both"/>
        <w:rPr>
          <w:rFonts w:ascii="黑体" w:hAnsi="黑体" w:eastAsia="黑体"/>
          <w:sz w:val="32"/>
          <w:szCs w:val="32"/>
        </w:rPr>
      </w:pPr>
      <w:r>
        <w:rPr>
          <w:rFonts w:hint="eastAsia" w:cstheme="minorBidi"/>
          <w:kern w:val="2"/>
          <w:sz w:val="24"/>
          <w:szCs w:val="24"/>
          <w:lang w:val="en-US" w:eastAsia="zh-CN" w:bidi="ar-SA"/>
        </w:rPr>
        <w:tab/>
      </w:r>
      <w:r>
        <w:rPr>
          <w:rFonts w:hint="eastAsia" w:ascii="黑体" w:hAnsi="黑体" w:eastAsia="黑体"/>
          <w:sz w:val="32"/>
          <w:szCs w:val="32"/>
        </w:rPr>
        <w:t>关于</w:t>
      </w:r>
      <w:r>
        <w:rPr>
          <w:rFonts w:hint="eastAsia" w:ascii="黑体" w:hAnsi="黑体" w:eastAsia="黑体"/>
          <w:sz w:val="32"/>
          <w:szCs w:val="32"/>
          <w:lang w:eastAsia="zh-CN"/>
        </w:rPr>
        <w:t>对热衷慈善事业的爱心企业捐款情况的通报</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ascii="仿宋" w:hAnsi="仿宋" w:eastAsia="仿宋"/>
          <w:sz w:val="32"/>
          <w:szCs w:val="32"/>
        </w:rPr>
      </w:pPr>
      <w:r>
        <w:rPr>
          <w:rFonts w:hint="eastAsia" w:ascii="仿宋" w:hAnsi="仿宋" w:eastAsia="仿宋"/>
          <w:sz w:val="32"/>
          <w:szCs w:val="32"/>
        </w:rPr>
        <w:t>各会员企业：</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 w:hAnsi="仿宋" w:eastAsia="仿宋"/>
          <w:sz w:val="32"/>
          <w:szCs w:val="32"/>
          <w:lang w:eastAsia="zh-CN"/>
        </w:rPr>
      </w:pPr>
      <w:r>
        <w:rPr>
          <w:rFonts w:hint="eastAsia" w:ascii="仿宋" w:hAnsi="仿宋" w:eastAsia="仿宋"/>
          <w:sz w:val="32"/>
          <w:szCs w:val="32"/>
          <w:lang w:val="en-US" w:eastAsia="zh-CN"/>
        </w:rPr>
        <w:t xml:space="preserve"> 6月25日省拍协向全体会员发出了“</w:t>
      </w:r>
      <w:r>
        <w:rPr>
          <w:rFonts w:hint="eastAsia" w:ascii="仿宋" w:hAnsi="仿宋" w:eastAsia="仿宋" w:cs="仿宋"/>
          <w:sz w:val="32"/>
          <w:szCs w:val="32"/>
        </w:rPr>
        <w:t>筹集善款定向帮扶贫困地区教育事业的倡议书</w:t>
      </w:r>
      <w:r>
        <w:rPr>
          <w:rFonts w:hint="eastAsia" w:ascii="仿宋" w:hAnsi="仿宋" w:eastAsia="仿宋" w:cs="仿宋"/>
          <w:sz w:val="32"/>
          <w:szCs w:val="32"/>
          <w:lang w:eastAsia="zh-CN"/>
        </w:rPr>
        <w:t>”，号召各企业可</w:t>
      </w:r>
      <w:r>
        <w:rPr>
          <w:rFonts w:hint="eastAsia" w:ascii="仿宋" w:hAnsi="仿宋" w:eastAsia="仿宋"/>
          <w:sz w:val="32"/>
          <w:szCs w:val="32"/>
        </w:rPr>
        <w:t>根据行业特点，通过慈善拍卖、自愿捐款等多种方式募捐</w:t>
      </w:r>
      <w:r>
        <w:rPr>
          <w:rFonts w:hint="eastAsia" w:ascii="仿宋" w:hAnsi="仿宋" w:eastAsia="仿宋"/>
          <w:sz w:val="32"/>
          <w:szCs w:val="32"/>
          <w:lang w:eastAsia="zh-CN"/>
        </w:rPr>
        <w:t>至河北省青少年发展基金会，并由河北省拍卖行业协会统一</w:t>
      </w:r>
      <w:r>
        <w:rPr>
          <w:rFonts w:hint="eastAsia" w:ascii="仿宋" w:hAnsi="仿宋" w:eastAsia="仿宋"/>
          <w:sz w:val="32"/>
          <w:szCs w:val="32"/>
        </w:rPr>
        <w:t>通过河北省青少年发展基金会，</w:t>
      </w:r>
      <w:r>
        <w:rPr>
          <w:rFonts w:hint="eastAsia" w:ascii="仿宋" w:hAnsi="仿宋" w:eastAsia="仿宋"/>
          <w:sz w:val="32"/>
          <w:szCs w:val="32"/>
          <w:lang w:eastAsia="zh-CN"/>
        </w:rPr>
        <w:t>定向为</w:t>
      </w:r>
      <w:r>
        <w:rPr>
          <w:rFonts w:hint="eastAsia" w:ascii="仿宋" w:hAnsi="仿宋" w:eastAsia="仿宋"/>
          <w:sz w:val="32"/>
          <w:szCs w:val="32"/>
        </w:rPr>
        <w:t>贫困地区的教育事业提供扶持和帮助，</w:t>
      </w:r>
      <w:r>
        <w:rPr>
          <w:rFonts w:hint="eastAsia" w:ascii="仿宋" w:hAnsi="仿宋" w:eastAsia="仿宋"/>
          <w:sz w:val="32"/>
          <w:szCs w:val="32"/>
          <w:lang w:eastAsia="zh-CN"/>
        </w:rPr>
        <w:t>从而</w:t>
      </w:r>
      <w:r>
        <w:rPr>
          <w:rFonts w:hint="eastAsia" w:ascii="仿宋" w:hAnsi="仿宋" w:eastAsia="仿宋"/>
          <w:sz w:val="32"/>
          <w:szCs w:val="32"/>
        </w:rPr>
        <w:t>改善贫困地区教育事业的落后局面</w:t>
      </w:r>
      <w:r>
        <w:rPr>
          <w:rFonts w:hint="eastAsia" w:ascii="仿宋" w:hAnsi="仿宋" w:eastAsia="仿宋"/>
          <w:sz w:val="32"/>
          <w:szCs w:val="32"/>
          <w:lang w:eastAsia="zh-CN"/>
        </w:rPr>
        <w:t>。到目前为止，已陆续收到部分企业的捐款</w:t>
      </w:r>
      <w:r>
        <w:rPr>
          <w:rFonts w:hint="eastAsia" w:ascii="仿宋" w:hAnsi="仿宋" w:eastAsia="仿宋"/>
          <w:sz w:val="32"/>
          <w:szCs w:val="32"/>
          <w:lang w:val="en-US" w:eastAsia="zh-CN"/>
        </w:rPr>
        <w:t>23680元，河北省青少年基金会为这些爱心企业</w:t>
      </w:r>
      <w:r>
        <w:rPr>
          <w:rFonts w:hint="eastAsia" w:ascii="仿宋" w:hAnsi="仿宋" w:eastAsia="仿宋"/>
          <w:sz w:val="32"/>
          <w:szCs w:val="32"/>
        </w:rPr>
        <w:t>出具</w:t>
      </w:r>
      <w:r>
        <w:rPr>
          <w:rFonts w:hint="eastAsia" w:ascii="仿宋" w:hAnsi="仿宋" w:eastAsia="仿宋"/>
          <w:sz w:val="32"/>
          <w:szCs w:val="32"/>
          <w:lang w:eastAsia="zh-CN"/>
        </w:rPr>
        <w:t>了</w:t>
      </w:r>
      <w:r>
        <w:rPr>
          <w:rFonts w:hint="eastAsia" w:ascii="仿宋" w:hAnsi="仿宋" w:eastAsia="仿宋"/>
          <w:sz w:val="32"/>
          <w:szCs w:val="32"/>
        </w:rPr>
        <w:t>河北省公益事业捐赠统一票据和捐款证书。</w:t>
      </w:r>
      <w:r>
        <w:rPr>
          <w:rFonts w:hint="eastAsia" w:ascii="仿宋" w:hAnsi="仿宋" w:eastAsia="仿宋"/>
          <w:sz w:val="32"/>
          <w:szCs w:val="32"/>
          <w:lang w:eastAsia="zh-CN"/>
        </w:rPr>
        <w:t>现将爱心企业名单公示如下：</w:t>
      </w:r>
    </w:p>
    <w:tbl>
      <w:tblPr>
        <w:tblStyle w:val="17"/>
        <w:tblW w:w="83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1"/>
        <w:gridCol w:w="3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51" w:type="dxa"/>
          </w:tcPr>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仿宋" w:hAnsi="仿宋" w:eastAsia="仿宋" w:cs="仿宋"/>
                <w:sz w:val="30"/>
                <w:szCs w:val="30"/>
                <w:vertAlign w:val="baseline"/>
              </w:rPr>
            </w:pP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名称</w:t>
            </w:r>
            <w:r>
              <w:rPr>
                <w:rFonts w:hint="eastAsia" w:ascii="仿宋" w:hAnsi="仿宋" w:eastAsia="仿宋" w:cs="仿宋"/>
                <w:sz w:val="30"/>
                <w:szCs w:val="30"/>
                <w:lang w:val="en-US" w:eastAsia="zh-CN"/>
              </w:rPr>
              <w:t xml:space="preserve">  </w:t>
            </w:r>
          </w:p>
        </w:tc>
        <w:tc>
          <w:tcPr>
            <w:tcW w:w="3690" w:type="dxa"/>
          </w:tcPr>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仿宋" w:hAnsi="仿宋" w:eastAsia="仿宋" w:cs="仿宋"/>
                <w:sz w:val="30"/>
                <w:szCs w:val="30"/>
                <w:vertAlign w:val="baseline"/>
              </w:rPr>
            </w:pPr>
            <w:r>
              <w:rPr>
                <w:rFonts w:hint="eastAsia" w:ascii="仿宋" w:hAnsi="仿宋" w:eastAsia="仿宋" w:cs="仿宋"/>
                <w:sz w:val="30"/>
                <w:szCs w:val="30"/>
              </w:rPr>
              <w:t>捐入金额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51" w:type="dxa"/>
          </w:tcPr>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仿宋" w:hAnsi="仿宋" w:eastAsia="仿宋" w:cs="仿宋"/>
                <w:sz w:val="30"/>
                <w:szCs w:val="30"/>
                <w:vertAlign w:val="baseline"/>
              </w:rPr>
            </w:pPr>
            <w:r>
              <w:rPr>
                <w:rFonts w:hint="eastAsia" w:ascii="仿宋" w:hAnsi="仿宋" w:eastAsia="仿宋" w:cs="仿宋"/>
                <w:sz w:val="30"/>
                <w:szCs w:val="30"/>
              </w:rPr>
              <w:t>中古慧通河北拍卖有限公司</w:t>
            </w:r>
          </w:p>
        </w:tc>
        <w:tc>
          <w:tcPr>
            <w:tcW w:w="3690" w:type="dxa"/>
          </w:tcPr>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仿宋" w:hAnsi="仿宋" w:eastAsia="仿宋" w:cs="仿宋"/>
                <w:sz w:val="30"/>
                <w:szCs w:val="30"/>
                <w:vertAlign w:val="baseline"/>
              </w:rPr>
            </w:pPr>
            <w:r>
              <w:rPr>
                <w:rFonts w:hint="eastAsia" w:ascii="仿宋" w:hAnsi="仿宋" w:eastAsia="仿宋" w:cs="仿宋"/>
                <w:sz w:val="30"/>
                <w:szCs w:val="30"/>
              </w:rPr>
              <w:t>2000.00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4651" w:type="dxa"/>
          </w:tcPr>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仿宋" w:hAnsi="仿宋" w:eastAsia="仿宋" w:cs="仿宋"/>
                <w:sz w:val="30"/>
                <w:szCs w:val="30"/>
                <w:vertAlign w:val="baseline"/>
              </w:rPr>
            </w:pPr>
            <w:r>
              <w:rPr>
                <w:rFonts w:hint="eastAsia" w:ascii="仿宋" w:hAnsi="仿宋" w:eastAsia="仿宋" w:cs="仿宋"/>
                <w:sz w:val="30"/>
                <w:szCs w:val="30"/>
              </w:rPr>
              <w:t>河北长城拍卖有限公司</w:t>
            </w:r>
            <w:r>
              <w:rPr>
                <w:rFonts w:hint="eastAsia" w:ascii="仿宋" w:hAnsi="仿宋" w:eastAsia="仿宋" w:cs="仿宋"/>
                <w:sz w:val="30"/>
                <w:szCs w:val="30"/>
                <w:lang w:val="en-US" w:eastAsia="zh-CN"/>
              </w:rPr>
              <w:t xml:space="preserve"> </w:t>
            </w:r>
          </w:p>
        </w:tc>
        <w:tc>
          <w:tcPr>
            <w:tcW w:w="3690" w:type="dxa"/>
          </w:tcPr>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仿宋" w:hAnsi="仿宋" w:eastAsia="仿宋" w:cs="仿宋"/>
                <w:sz w:val="30"/>
                <w:szCs w:val="30"/>
                <w:vertAlign w:val="baseline"/>
              </w:rPr>
            </w:pPr>
            <w:r>
              <w:rPr>
                <w:rFonts w:hint="eastAsia" w:ascii="仿宋" w:hAnsi="仿宋" w:eastAsia="仿宋" w:cs="仿宋"/>
                <w:sz w:val="30"/>
                <w:szCs w:val="30"/>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51" w:type="dxa"/>
          </w:tcPr>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仿宋" w:hAnsi="仿宋" w:eastAsia="仿宋" w:cs="仿宋"/>
                <w:sz w:val="30"/>
                <w:szCs w:val="30"/>
                <w:vertAlign w:val="baseline"/>
              </w:rPr>
            </w:pPr>
            <w:r>
              <w:rPr>
                <w:rFonts w:hint="eastAsia" w:ascii="仿宋" w:hAnsi="仿宋" w:eastAsia="仿宋" w:cs="仿宋"/>
                <w:sz w:val="30"/>
                <w:szCs w:val="30"/>
              </w:rPr>
              <w:t>河北大众拍卖有限责任公司</w:t>
            </w:r>
          </w:p>
        </w:tc>
        <w:tc>
          <w:tcPr>
            <w:tcW w:w="3690" w:type="dxa"/>
          </w:tcPr>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仿宋" w:hAnsi="仿宋" w:eastAsia="仿宋" w:cs="仿宋"/>
                <w:sz w:val="30"/>
                <w:szCs w:val="30"/>
                <w:vertAlign w:val="baseline"/>
              </w:rPr>
            </w:pPr>
            <w:r>
              <w:rPr>
                <w:rFonts w:hint="eastAsia" w:ascii="仿宋" w:hAnsi="仿宋" w:eastAsia="仿宋" w:cs="仿宋"/>
                <w:sz w:val="30"/>
                <w:szCs w:val="30"/>
              </w:rPr>
              <w:t>3000.00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51" w:type="dxa"/>
          </w:tcPr>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仿宋" w:hAnsi="仿宋" w:eastAsia="仿宋" w:cs="仿宋"/>
                <w:sz w:val="30"/>
                <w:szCs w:val="30"/>
                <w:vertAlign w:val="baseline"/>
              </w:rPr>
            </w:pPr>
            <w:r>
              <w:rPr>
                <w:rFonts w:hint="eastAsia" w:ascii="仿宋" w:hAnsi="仿宋" w:eastAsia="仿宋" w:cs="仿宋"/>
                <w:sz w:val="30"/>
                <w:szCs w:val="30"/>
              </w:rPr>
              <w:t>河北宏城拍卖有限公司</w:t>
            </w:r>
          </w:p>
        </w:tc>
        <w:tc>
          <w:tcPr>
            <w:tcW w:w="3690" w:type="dxa"/>
          </w:tcPr>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仿宋" w:hAnsi="仿宋" w:eastAsia="仿宋" w:cs="仿宋"/>
                <w:sz w:val="30"/>
                <w:szCs w:val="30"/>
                <w:vertAlign w:val="baseline"/>
              </w:rPr>
            </w:pPr>
            <w:r>
              <w:rPr>
                <w:rFonts w:hint="eastAsia" w:ascii="仿宋" w:hAnsi="仿宋" w:eastAsia="仿宋" w:cs="仿宋"/>
                <w:sz w:val="30"/>
                <w:szCs w:val="30"/>
              </w:rPr>
              <w:t>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51" w:type="dxa"/>
          </w:tcPr>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仿宋" w:hAnsi="仿宋" w:eastAsia="仿宋" w:cs="仿宋"/>
                <w:sz w:val="30"/>
                <w:szCs w:val="30"/>
                <w:vertAlign w:val="baseline"/>
              </w:rPr>
            </w:pPr>
            <w:r>
              <w:rPr>
                <w:rFonts w:hint="eastAsia" w:ascii="仿宋" w:hAnsi="仿宋" w:eastAsia="仿宋" w:cs="仿宋"/>
                <w:sz w:val="30"/>
                <w:szCs w:val="30"/>
              </w:rPr>
              <w:t>承德市东方拍卖行有限公司</w:t>
            </w:r>
            <w:r>
              <w:rPr>
                <w:rFonts w:hint="eastAsia" w:ascii="仿宋" w:hAnsi="仿宋" w:eastAsia="仿宋" w:cs="仿宋"/>
                <w:sz w:val="30"/>
                <w:szCs w:val="30"/>
                <w:lang w:val="en-US" w:eastAsia="zh-CN"/>
              </w:rPr>
              <w:t xml:space="preserve"> </w:t>
            </w:r>
          </w:p>
        </w:tc>
        <w:tc>
          <w:tcPr>
            <w:tcW w:w="3690" w:type="dxa"/>
          </w:tcPr>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仿宋" w:hAnsi="仿宋" w:eastAsia="仿宋" w:cs="仿宋"/>
                <w:sz w:val="30"/>
                <w:szCs w:val="30"/>
                <w:vertAlign w:val="baseline"/>
              </w:rPr>
            </w:pPr>
            <w:r>
              <w:rPr>
                <w:rFonts w:hint="eastAsia" w:ascii="仿宋" w:hAnsi="仿宋" w:eastAsia="仿宋" w:cs="仿宋"/>
                <w:sz w:val="30"/>
                <w:szCs w:val="30"/>
              </w:rPr>
              <w:t>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51" w:type="dxa"/>
          </w:tcPr>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仿宋" w:hAnsi="仿宋" w:eastAsia="仿宋" w:cs="仿宋"/>
                <w:sz w:val="30"/>
                <w:szCs w:val="30"/>
                <w:vertAlign w:val="baseline"/>
              </w:rPr>
            </w:pPr>
            <w:r>
              <w:rPr>
                <w:rFonts w:hint="eastAsia" w:ascii="仿宋" w:hAnsi="仿宋" w:eastAsia="仿宋" w:cs="仿宋"/>
                <w:sz w:val="30"/>
                <w:szCs w:val="30"/>
              </w:rPr>
              <w:t>河北海天拍卖有限公司</w:t>
            </w:r>
          </w:p>
        </w:tc>
        <w:tc>
          <w:tcPr>
            <w:tcW w:w="3690" w:type="dxa"/>
          </w:tcPr>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仿宋" w:hAnsi="仿宋" w:eastAsia="仿宋" w:cs="仿宋"/>
                <w:sz w:val="30"/>
                <w:szCs w:val="30"/>
                <w:vertAlign w:val="baseline"/>
              </w:rPr>
            </w:pPr>
            <w:r>
              <w:rPr>
                <w:rFonts w:hint="eastAsia" w:ascii="仿宋" w:hAnsi="仿宋" w:eastAsia="仿宋" w:cs="仿宋"/>
                <w:sz w:val="30"/>
                <w:szCs w:val="30"/>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trPr>
        <w:tc>
          <w:tcPr>
            <w:tcW w:w="4651" w:type="dxa"/>
          </w:tcPr>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仿宋" w:hAnsi="仿宋" w:eastAsia="仿宋" w:cs="仿宋"/>
                <w:sz w:val="30"/>
                <w:szCs w:val="30"/>
                <w:vertAlign w:val="baseline"/>
              </w:rPr>
            </w:pPr>
            <w:r>
              <w:rPr>
                <w:rFonts w:hint="eastAsia" w:ascii="仿宋" w:hAnsi="仿宋" w:eastAsia="仿宋" w:cs="仿宋"/>
                <w:sz w:val="30"/>
                <w:szCs w:val="30"/>
              </w:rPr>
              <w:t>沧州市汇丰拍卖有限公司</w:t>
            </w:r>
          </w:p>
        </w:tc>
        <w:tc>
          <w:tcPr>
            <w:tcW w:w="3690" w:type="dxa"/>
          </w:tcPr>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仿宋" w:hAnsi="仿宋" w:eastAsia="仿宋" w:cs="仿宋"/>
                <w:sz w:val="30"/>
                <w:szCs w:val="30"/>
                <w:vertAlign w:val="baseline"/>
              </w:rPr>
            </w:pPr>
            <w:r>
              <w:rPr>
                <w:rFonts w:hint="eastAsia" w:ascii="仿宋" w:hAnsi="仿宋" w:eastAsia="仿宋" w:cs="仿宋"/>
                <w:sz w:val="30"/>
                <w:szCs w:val="30"/>
              </w:rPr>
              <w:t>3000.00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51" w:type="dxa"/>
          </w:tcPr>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仿宋" w:hAnsi="仿宋" w:eastAsia="仿宋" w:cs="仿宋"/>
                <w:sz w:val="30"/>
                <w:szCs w:val="30"/>
                <w:vertAlign w:val="baseline"/>
              </w:rPr>
            </w:pPr>
            <w:r>
              <w:rPr>
                <w:rFonts w:hint="eastAsia" w:ascii="仿宋" w:hAnsi="仿宋" w:eastAsia="仿宋" w:cs="仿宋"/>
                <w:sz w:val="30"/>
                <w:szCs w:val="30"/>
              </w:rPr>
              <w:t>沧州市天悦拍卖有限公司</w:t>
            </w:r>
          </w:p>
        </w:tc>
        <w:tc>
          <w:tcPr>
            <w:tcW w:w="3690" w:type="dxa"/>
          </w:tcPr>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仿宋" w:hAnsi="仿宋" w:eastAsia="仿宋" w:cs="仿宋"/>
                <w:sz w:val="30"/>
                <w:szCs w:val="30"/>
                <w:vertAlign w:val="baseline"/>
              </w:rPr>
            </w:pPr>
            <w:r>
              <w:rPr>
                <w:rFonts w:hint="eastAsia" w:ascii="仿宋" w:hAnsi="仿宋" w:eastAsia="仿宋" w:cs="仿宋"/>
                <w:sz w:val="30"/>
                <w:szCs w:val="30"/>
              </w:rPr>
              <w:t>2000.00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51" w:type="dxa"/>
          </w:tcPr>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仿宋" w:hAnsi="仿宋" w:eastAsia="仿宋" w:cs="仿宋"/>
                <w:sz w:val="30"/>
                <w:szCs w:val="30"/>
                <w:vertAlign w:val="baseline"/>
              </w:rPr>
            </w:pPr>
            <w:r>
              <w:rPr>
                <w:rFonts w:hint="eastAsia" w:ascii="仿宋" w:hAnsi="仿宋" w:eastAsia="仿宋" w:cs="仿宋"/>
                <w:sz w:val="30"/>
                <w:szCs w:val="30"/>
              </w:rPr>
              <w:t>邯郸市天诚拍卖有限责任公司</w:t>
            </w:r>
          </w:p>
        </w:tc>
        <w:tc>
          <w:tcPr>
            <w:tcW w:w="3690" w:type="dxa"/>
          </w:tcPr>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仿宋" w:hAnsi="仿宋" w:eastAsia="仿宋" w:cs="仿宋"/>
                <w:sz w:val="30"/>
                <w:szCs w:val="30"/>
                <w:vertAlign w:val="baseline"/>
              </w:rPr>
            </w:pPr>
            <w:r>
              <w:rPr>
                <w:rFonts w:hint="eastAsia" w:ascii="仿宋" w:hAnsi="仿宋" w:eastAsia="仿宋" w:cs="仿宋"/>
                <w:sz w:val="30"/>
                <w:szCs w:val="30"/>
                <w:lang w:val="en-US" w:eastAsia="zh-CN"/>
              </w:rPr>
              <w:t>3</w:t>
            </w:r>
            <w:r>
              <w:rPr>
                <w:rFonts w:hint="eastAsia" w:ascii="仿宋" w:hAnsi="仿宋" w:eastAsia="仿宋" w:cs="仿宋"/>
                <w:sz w:val="30"/>
                <w:szCs w:val="30"/>
              </w:rPr>
              <w:t>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51" w:type="dxa"/>
          </w:tcPr>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仿宋" w:hAnsi="仿宋" w:eastAsia="仿宋" w:cs="仿宋"/>
                <w:sz w:val="30"/>
                <w:szCs w:val="30"/>
                <w:vertAlign w:val="baseline"/>
              </w:rPr>
            </w:pPr>
            <w:r>
              <w:rPr>
                <w:rFonts w:hint="eastAsia" w:ascii="仿宋" w:hAnsi="仿宋" w:eastAsia="仿宋" w:cs="仿宋"/>
                <w:sz w:val="30"/>
                <w:szCs w:val="30"/>
              </w:rPr>
              <w:t>河北慕杉拍卖有限公司</w:t>
            </w:r>
          </w:p>
        </w:tc>
        <w:tc>
          <w:tcPr>
            <w:tcW w:w="3690" w:type="dxa"/>
          </w:tcPr>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仿宋" w:hAnsi="仿宋" w:eastAsia="仿宋" w:cs="仿宋"/>
                <w:sz w:val="30"/>
                <w:szCs w:val="30"/>
                <w:vertAlign w:val="baseline"/>
              </w:rPr>
            </w:pPr>
            <w:r>
              <w:rPr>
                <w:rFonts w:hint="eastAsia" w:ascii="仿宋" w:hAnsi="仿宋" w:eastAsia="仿宋" w:cs="仿宋"/>
                <w:sz w:val="30"/>
                <w:szCs w:val="30"/>
              </w:rPr>
              <w:t>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51" w:type="dxa"/>
          </w:tcPr>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仿宋" w:hAnsi="仿宋" w:eastAsia="仿宋" w:cs="仿宋"/>
                <w:sz w:val="30"/>
                <w:szCs w:val="30"/>
                <w:vertAlign w:val="baseline"/>
              </w:rPr>
            </w:pPr>
            <w:r>
              <w:rPr>
                <w:rFonts w:hint="eastAsia" w:ascii="仿宋" w:hAnsi="仿宋" w:eastAsia="仿宋" w:cs="仿宋"/>
                <w:sz w:val="30"/>
                <w:szCs w:val="30"/>
              </w:rPr>
              <w:t>唐山远通拍卖有限公司</w:t>
            </w:r>
          </w:p>
        </w:tc>
        <w:tc>
          <w:tcPr>
            <w:tcW w:w="3690" w:type="dxa"/>
          </w:tcPr>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仿宋" w:hAnsi="仿宋" w:eastAsia="仿宋" w:cs="仿宋"/>
                <w:sz w:val="30"/>
                <w:szCs w:val="30"/>
                <w:vertAlign w:val="baseline"/>
              </w:rPr>
            </w:pPr>
            <w:r>
              <w:rPr>
                <w:rFonts w:hint="eastAsia" w:ascii="仿宋" w:hAnsi="仿宋" w:eastAsia="仿宋" w:cs="仿宋"/>
                <w:sz w:val="30"/>
                <w:szCs w:val="30"/>
              </w:rPr>
              <w:t>2680.00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51" w:type="dxa"/>
          </w:tcPr>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仿宋" w:hAnsi="仿宋" w:eastAsia="仿宋" w:cs="仿宋"/>
                <w:sz w:val="30"/>
                <w:szCs w:val="30"/>
                <w:vertAlign w:val="baseline"/>
              </w:rPr>
            </w:pPr>
          </w:p>
        </w:tc>
        <w:tc>
          <w:tcPr>
            <w:tcW w:w="3690" w:type="dxa"/>
          </w:tcPr>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23680.00</w:t>
            </w:r>
          </w:p>
        </w:tc>
      </w:tr>
    </w:tbl>
    <w:p>
      <w:pPr>
        <w:keepNext w:val="0"/>
        <w:keepLines w:val="0"/>
        <w:pageBreakBefore w:val="0"/>
        <w:widowControl w:val="0"/>
        <w:kinsoku/>
        <w:wordWrap/>
        <w:overflowPunct/>
        <w:topLinePunct w:val="0"/>
        <w:autoSpaceDE/>
        <w:autoSpaceDN/>
        <w:bidi w:val="0"/>
        <w:adjustRightInd/>
        <w:snapToGrid/>
        <w:spacing w:line="480" w:lineRule="exact"/>
        <w:ind w:firstLine="4480" w:firstLineChars="1400"/>
        <w:textAlignment w:val="auto"/>
        <w:outlineLvl w:val="9"/>
        <w:rPr>
          <w:rFonts w:hint="eastAsia" w:ascii="仿宋" w:hAnsi="仿宋" w:eastAsia="仿宋"/>
          <w:sz w:val="32"/>
          <w:szCs w:val="32"/>
        </w:rPr>
      </w:pPr>
      <w:r>
        <w:rPr>
          <w:rFonts w:hint="eastAsia" w:ascii="仿宋" w:hAnsi="仿宋" w:eastAsia="仿宋"/>
          <w:sz w:val="32"/>
          <w:szCs w:val="32"/>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4500" w:firstLineChars="1500"/>
        <w:textAlignment w:val="auto"/>
        <w:outlineLvl w:val="9"/>
        <w:rPr>
          <w:rFonts w:hint="eastAsia" w:ascii="仿宋" w:hAnsi="仿宋" w:eastAsia="仿宋"/>
          <w:sz w:val="30"/>
          <w:szCs w:val="30"/>
        </w:rPr>
      </w:pPr>
      <w:r>
        <w:rPr>
          <w:rFonts w:hint="eastAsia" w:ascii="仿宋" w:hAnsi="仿宋" w:eastAsia="仿宋"/>
          <w:sz w:val="30"/>
          <w:szCs w:val="30"/>
        </w:rPr>
        <w:t>河北省拍卖行业协会</w:t>
      </w:r>
    </w:p>
    <w:p>
      <w:pPr>
        <w:tabs>
          <w:tab w:val="left" w:pos="628"/>
        </w:tabs>
        <w:jc w:val="left"/>
        <w:rPr>
          <w:rFonts w:ascii="仿宋" w:hAnsi="仿宋" w:eastAsia="仿宋"/>
          <w:sz w:val="30"/>
          <w:szCs w:val="30"/>
        </w:rPr>
      </w:pPr>
      <w:r>
        <w:rPr>
          <w:rFonts w:hint="eastAsia" w:ascii="仿宋" w:hAnsi="仿宋" w:eastAsia="仿宋"/>
          <w:sz w:val="30"/>
          <w:szCs w:val="30"/>
        </w:rPr>
        <w:t xml:space="preserve">                         </w:t>
      </w:r>
      <w:r>
        <w:rPr>
          <w:rFonts w:hint="eastAsia" w:ascii="仿宋" w:hAnsi="仿宋" w:eastAsia="仿宋"/>
          <w:sz w:val="30"/>
          <w:szCs w:val="30"/>
          <w:lang w:val="en-US" w:eastAsia="zh-CN"/>
        </w:rPr>
        <w:t xml:space="preserve">  </w:t>
      </w:r>
      <w:r>
        <w:rPr>
          <w:rFonts w:hint="eastAsia" w:ascii="仿宋" w:hAnsi="仿宋" w:eastAsia="仿宋"/>
          <w:sz w:val="30"/>
          <w:szCs w:val="30"/>
        </w:rPr>
        <w:t xml:space="preserve"> </w:t>
      </w:r>
      <w:r>
        <w:rPr>
          <w:rFonts w:hint="eastAsia" w:ascii="仿宋" w:hAnsi="仿宋" w:eastAsia="仿宋"/>
          <w:sz w:val="30"/>
          <w:szCs w:val="30"/>
          <w:lang w:val="en-US" w:eastAsia="zh-CN"/>
        </w:rPr>
        <w:t xml:space="preserve">   </w:t>
      </w:r>
      <w:r>
        <w:rPr>
          <w:rFonts w:ascii="仿宋" w:hAnsi="仿宋" w:eastAsia="仿宋"/>
          <w:sz w:val="30"/>
          <w:szCs w:val="30"/>
        </w:rPr>
        <w:t>2018年</w:t>
      </w:r>
      <w:r>
        <w:rPr>
          <w:rFonts w:hint="eastAsia" w:ascii="仿宋" w:hAnsi="仿宋" w:eastAsia="仿宋"/>
          <w:sz w:val="30"/>
          <w:szCs w:val="30"/>
          <w:lang w:val="en-US" w:eastAsia="zh-CN"/>
        </w:rPr>
        <w:t>8</w:t>
      </w:r>
      <w:r>
        <w:rPr>
          <w:rFonts w:ascii="仿宋" w:hAnsi="仿宋" w:eastAsia="仿宋"/>
          <w:sz w:val="30"/>
          <w:szCs w:val="30"/>
        </w:rPr>
        <w:t>月</w:t>
      </w:r>
      <w:r>
        <w:rPr>
          <w:rFonts w:hint="eastAsia" w:ascii="仿宋" w:hAnsi="仿宋" w:eastAsia="仿宋"/>
          <w:sz w:val="30"/>
          <w:szCs w:val="30"/>
          <w:lang w:val="en-US" w:eastAsia="zh-CN"/>
        </w:rPr>
        <w:t>22</w:t>
      </w:r>
      <w:r>
        <w:rPr>
          <w:rFonts w:ascii="仿宋" w:hAnsi="仿宋" w:eastAsia="仿宋"/>
          <w:sz w:val="30"/>
          <w:szCs w:val="30"/>
        </w:rPr>
        <w:t>日</w:t>
      </w:r>
    </w:p>
    <w:p>
      <w:pPr>
        <w:pStyle w:val="6"/>
        <w:keepNext w:val="0"/>
        <w:keepLines w:val="0"/>
        <w:widowControl/>
        <w:suppressLineNumbers w:val="0"/>
        <w:spacing w:line="21" w:lineRule="atLeast"/>
        <w:jc w:val="center"/>
        <w:rPr>
          <w:rFonts w:hint="eastAsia" w:ascii="仿宋" w:hAnsi="仿宋" w:eastAsia="仿宋" w:cstheme="minorBidi"/>
          <w:kern w:val="2"/>
          <w:sz w:val="30"/>
          <w:szCs w:val="30"/>
          <w:lang w:val="en-US" w:eastAsia="zh-CN" w:bidi="ar-SA"/>
        </w:rPr>
      </w:pPr>
      <w:r>
        <w:rPr>
          <w:rFonts w:hint="eastAsia" w:ascii="仿宋" w:hAnsi="仿宋" w:eastAsia="仿宋" w:cstheme="minorBidi"/>
          <w:kern w:val="2"/>
          <w:sz w:val="30"/>
          <w:szCs w:val="30"/>
          <w:lang w:val="en-US" w:eastAsia="zh-CN" w:bidi="ar-SA"/>
        </w:rPr>
        <w:tab/>
      </w:r>
    </w:p>
    <w:p>
      <w:pPr>
        <w:pStyle w:val="6"/>
        <w:keepNext w:val="0"/>
        <w:keepLines w:val="0"/>
        <w:widowControl/>
        <w:suppressLineNumbers w:val="0"/>
        <w:spacing w:line="21" w:lineRule="atLeast"/>
        <w:jc w:val="center"/>
      </w:pPr>
      <w:r>
        <w:rPr>
          <w:rStyle w:val="8"/>
          <w:rFonts w:ascii="Helvetica" w:hAnsi="Helvetica" w:eastAsia="Helvetica" w:cs="Helvetica"/>
          <w:b/>
          <w:color w:val="333333"/>
          <w:sz w:val="36"/>
          <w:szCs w:val="36"/>
        </w:rPr>
        <w:t>关于2018年度文物拍卖人员培训的通知</w:t>
      </w:r>
    </w:p>
    <w:p>
      <w:pPr>
        <w:pStyle w:val="6"/>
        <w:keepNext w:val="0"/>
        <w:keepLines w:val="0"/>
        <w:widowControl/>
        <w:suppressLineNumbers w:val="0"/>
        <w:spacing w:line="21" w:lineRule="atLeast"/>
        <w:ind w:firstLine="280" w:firstLineChars="100"/>
        <w:rPr>
          <w:rFonts w:hint="eastAsia" w:ascii="仿宋" w:hAnsi="仿宋" w:eastAsia="仿宋" w:cs="仿宋"/>
          <w:sz w:val="28"/>
          <w:szCs w:val="28"/>
        </w:rPr>
      </w:pPr>
      <w:r>
        <w:rPr>
          <w:rFonts w:hint="eastAsia" w:ascii="仿宋" w:hAnsi="仿宋" w:eastAsia="仿宋" w:cs="仿宋"/>
          <w:color w:val="333333"/>
          <w:sz w:val="28"/>
          <w:szCs w:val="28"/>
        </w:rPr>
        <w:t>各拍卖企业：</w:t>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333333"/>
          <w:sz w:val="28"/>
          <w:szCs w:val="28"/>
        </w:rPr>
        <w:t>为促进文物拍卖事业繁荣发展，推进文物拍卖企业专业化建设，提高文物拍卖从业人员的专业水平和业务能力，适应文物拍卖企业市场化、国际化发展需要，中国拍卖行业协会将联合国家文博人才培训基地启动2018年度文物拍卖人员专项培训班工作。现将有关事宜通知如下：</w:t>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333333"/>
          <w:sz w:val="28"/>
          <w:szCs w:val="28"/>
        </w:rPr>
        <w:t>一、培训对象</w:t>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333333"/>
          <w:sz w:val="28"/>
          <w:szCs w:val="28"/>
        </w:rPr>
        <w:t>（一）文物拍卖企业专业人员；</w:t>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333333"/>
          <w:sz w:val="28"/>
          <w:szCs w:val="28"/>
        </w:rPr>
        <w:t>（二）文物艺术品市场从业人员；</w:t>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333333"/>
          <w:sz w:val="28"/>
          <w:szCs w:val="28"/>
        </w:rPr>
        <w:t>（三）拟从事文物艺术品交易的在职人员；</w:t>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333333"/>
          <w:sz w:val="28"/>
          <w:szCs w:val="28"/>
        </w:rPr>
        <w:t>（四）文博、艺术相关专业在校大学生、研究生。</w:t>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333333"/>
          <w:sz w:val="28"/>
          <w:szCs w:val="28"/>
        </w:rPr>
        <w:t>二、培训时间及地点</w:t>
      </w:r>
    </w:p>
    <w:p>
      <w:pPr>
        <w:pStyle w:val="6"/>
        <w:keepNext w:val="0"/>
        <w:keepLines w:val="0"/>
        <w:widowControl/>
        <w:suppressLineNumbers w:val="0"/>
        <w:spacing w:line="21" w:lineRule="atLeast"/>
        <w:rPr>
          <w:rFonts w:hint="eastAsia" w:ascii="仿宋" w:hAnsi="仿宋" w:eastAsia="仿宋" w:cs="仿宋"/>
          <w:color w:val="181717" w:themeColor="background2" w:themeShade="1A"/>
          <w:sz w:val="28"/>
          <w:szCs w:val="28"/>
        </w:rPr>
      </w:pPr>
      <w:r>
        <w:rPr>
          <w:rFonts w:hint="eastAsia" w:ascii="仿宋" w:hAnsi="仿宋" w:eastAsia="仿宋" w:cs="仿宋"/>
          <w:color w:val="333333"/>
          <w:sz w:val="28"/>
          <w:szCs w:val="28"/>
        </w:rPr>
        <w:t>（一）陶瓷器：9月17日-21日（5天）北京  </w:t>
      </w:r>
      <w:r>
        <w:rPr>
          <w:rFonts w:hint="eastAsia" w:ascii="仿宋" w:hAnsi="仿宋" w:eastAsia="仿宋" w:cs="仿宋"/>
          <w:color w:val="181717" w:themeColor="background2" w:themeShade="1A"/>
          <w:sz w:val="28"/>
          <w:szCs w:val="28"/>
        </w:rPr>
        <w:t xml:space="preserve"> </w:t>
      </w:r>
      <w:r>
        <w:rPr>
          <w:rFonts w:hint="eastAsia" w:ascii="仿宋" w:hAnsi="仿宋" w:eastAsia="仿宋" w:cs="仿宋"/>
          <w:color w:val="181717" w:themeColor="background2" w:themeShade="1A"/>
          <w:sz w:val="28"/>
          <w:szCs w:val="28"/>
          <w:u w:val="none"/>
        </w:rPr>
        <w:fldChar w:fldCharType="begin"/>
      </w:r>
      <w:r>
        <w:rPr>
          <w:rFonts w:hint="eastAsia" w:ascii="仿宋" w:hAnsi="仿宋" w:eastAsia="仿宋" w:cs="仿宋"/>
          <w:color w:val="181717" w:themeColor="background2" w:themeShade="1A"/>
          <w:sz w:val="28"/>
          <w:szCs w:val="28"/>
          <w:u w:val="none"/>
        </w:rPr>
        <w:instrText xml:space="preserve"> HYPERLINK "http://www.caa123.org.cn/frontCcSignOfferDetailAction.do?method=doSignOfferDetail&amp;key=3726" \t "http://www.caa123.org.cn/_blank" </w:instrText>
      </w:r>
      <w:r>
        <w:rPr>
          <w:rFonts w:hint="eastAsia" w:ascii="仿宋" w:hAnsi="仿宋" w:eastAsia="仿宋" w:cs="仿宋"/>
          <w:color w:val="181717" w:themeColor="background2" w:themeShade="1A"/>
          <w:sz w:val="28"/>
          <w:szCs w:val="28"/>
          <w:u w:val="none"/>
        </w:rPr>
        <w:fldChar w:fldCharType="separate"/>
      </w:r>
      <w:r>
        <w:rPr>
          <w:rStyle w:val="12"/>
          <w:rFonts w:hint="eastAsia" w:ascii="仿宋" w:hAnsi="仿宋" w:eastAsia="仿宋" w:cs="仿宋"/>
          <w:color w:val="181717" w:themeColor="background2" w:themeShade="1A"/>
          <w:sz w:val="28"/>
          <w:szCs w:val="28"/>
          <w:u w:val="none"/>
        </w:rPr>
        <w:t>点击报名</w:t>
      </w:r>
      <w:r>
        <w:rPr>
          <w:rFonts w:hint="eastAsia" w:ascii="仿宋" w:hAnsi="仿宋" w:eastAsia="仿宋" w:cs="仿宋"/>
          <w:color w:val="181717" w:themeColor="background2" w:themeShade="1A"/>
          <w:sz w:val="28"/>
          <w:szCs w:val="28"/>
          <w:u w:val="none"/>
        </w:rPr>
        <w:fldChar w:fldCharType="end"/>
      </w:r>
    </w:p>
    <w:p>
      <w:pPr>
        <w:pStyle w:val="6"/>
        <w:keepNext w:val="0"/>
        <w:keepLines w:val="0"/>
        <w:widowControl/>
        <w:suppressLineNumbers w:val="0"/>
        <w:spacing w:line="21" w:lineRule="atLeast"/>
        <w:rPr>
          <w:rFonts w:hint="eastAsia" w:ascii="仿宋" w:hAnsi="仿宋" w:eastAsia="仿宋" w:cs="仿宋"/>
          <w:color w:val="181717" w:themeColor="background2" w:themeShade="1A"/>
          <w:sz w:val="28"/>
          <w:szCs w:val="28"/>
        </w:rPr>
      </w:pPr>
      <w:r>
        <w:rPr>
          <w:rFonts w:hint="eastAsia" w:ascii="仿宋" w:hAnsi="仿宋" w:eastAsia="仿宋" w:cs="仿宋"/>
          <w:color w:val="181717" w:themeColor="background2" w:themeShade="1A"/>
          <w:sz w:val="28"/>
          <w:szCs w:val="28"/>
        </w:rPr>
        <w:t>（二）玉石器：10月22日-26日（5天）北京  </w:t>
      </w:r>
      <w:r>
        <w:rPr>
          <w:rFonts w:hint="eastAsia" w:ascii="仿宋" w:hAnsi="仿宋" w:eastAsia="仿宋" w:cs="仿宋"/>
          <w:color w:val="181717" w:themeColor="background2" w:themeShade="1A"/>
          <w:sz w:val="28"/>
          <w:szCs w:val="28"/>
          <w:u w:val="none"/>
        </w:rPr>
        <w:fldChar w:fldCharType="begin"/>
      </w:r>
      <w:r>
        <w:rPr>
          <w:rFonts w:hint="eastAsia" w:ascii="仿宋" w:hAnsi="仿宋" w:eastAsia="仿宋" w:cs="仿宋"/>
          <w:color w:val="181717" w:themeColor="background2" w:themeShade="1A"/>
          <w:sz w:val="28"/>
          <w:szCs w:val="28"/>
          <w:u w:val="none"/>
        </w:rPr>
        <w:instrText xml:space="preserve"> HYPERLINK "http://www.caa123.org.cn/frontCcSignOfferDetailAction.do?method=doSignOfferDetail&amp;key=3727" \t "http://www.caa123.org.cn/_blank" </w:instrText>
      </w:r>
      <w:r>
        <w:rPr>
          <w:rFonts w:hint="eastAsia" w:ascii="仿宋" w:hAnsi="仿宋" w:eastAsia="仿宋" w:cs="仿宋"/>
          <w:color w:val="181717" w:themeColor="background2" w:themeShade="1A"/>
          <w:sz w:val="28"/>
          <w:szCs w:val="28"/>
          <w:u w:val="none"/>
        </w:rPr>
        <w:fldChar w:fldCharType="separate"/>
      </w:r>
      <w:r>
        <w:rPr>
          <w:rStyle w:val="12"/>
          <w:rFonts w:hint="eastAsia" w:ascii="仿宋" w:hAnsi="仿宋" w:eastAsia="仿宋" w:cs="仿宋"/>
          <w:color w:val="181717" w:themeColor="background2" w:themeShade="1A"/>
          <w:sz w:val="28"/>
          <w:szCs w:val="28"/>
          <w:u w:val="none"/>
        </w:rPr>
        <w:t>点击报名</w:t>
      </w:r>
      <w:r>
        <w:rPr>
          <w:rFonts w:hint="eastAsia" w:ascii="仿宋" w:hAnsi="仿宋" w:eastAsia="仿宋" w:cs="仿宋"/>
          <w:color w:val="181717" w:themeColor="background2" w:themeShade="1A"/>
          <w:sz w:val="28"/>
          <w:szCs w:val="28"/>
          <w:u w:val="none"/>
        </w:rPr>
        <w:fldChar w:fldCharType="end"/>
      </w:r>
    </w:p>
    <w:p>
      <w:pPr>
        <w:pStyle w:val="6"/>
        <w:keepNext w:val="0"/>
        <w:keepLines w:val="0"/>
        <w:widowControl/>
        <w:suppressLineNumbers w:val="0"/>
        <w:spacing w:line="21" w:lineRule="atLeast"/>
        <w:rPr>
          <w:rFonts w:hint="eastAsia" w:ascii="仿宋" w:hAnsi="仿宋" w:eastAsia="仿宋" w:cs="仿宋"/>
          <w:color w:val="181717" w:themeColor="background2" w:themeShade="1A"/>
          <w:sz w:val="28"/>
          <w:szCs w:val="28"/>
        </w:rPr>
      </w:pPr>
      <w:r>
        <w:rPr>
          <w:rFonts w:hint="eastAsia" w:ascii="仿宋" w:hAnsi="仿宋" w:eastAsia="仿宋" w:cs="仿宋"/>
          <w:color w:val="181717" w:themeColor="background2" w:themeShade="1A"/>
          <w:sz w:val="28"/>
          <w:szCs w:val="28"/>
        </w:rPr>
        <w:t xml:space="preserve">（三）书画：11月12日-16日（5天）南京   </w:t>
      </w:r>
      <w:r>
        <w:rPr>
          <w:rFonts w:hint="eastAsia" w:ascii="仿宋" w:hAnsi="仿宋" w:eastAsia="仿宋" w:cs="仿宋"/>
          <w:color w:val="181717" w:themeColor="background2" w:themeShade="1A"/>
          <w:sz w:val="28"/>
          <w:szCs w:val="28"/>
          <w:u w:val="none"/>
        </w:rPr>
        <w:fldChar w:fldCharType="begin"/>
      </w:r>
      <w:r>
        <w:rPr>
          <w:rFonts w:hint="eastAsia" w:ascii="仿宋" w:hAnsi="仿宋" w:eastAsia="仿宋" w:cs="仿宋"/>
          <w:color w:val="181717" w:themeColor="background2" w:themeShade="1A"/>
          <w:sz w:val="28"/>
          <w:szCs w:val="28"/>
          <w:u w:val="none"/>
        </w:rPr>
        <w:instrText xml:space="preserve"> HYPERLINK "http://www.caa123.org.cn/frontCcSignOfferDetailAction.do?method=doSignOfferDetail&amp;key=3728" \t "http://www.caa123.org.cn/_blank" </w:instrText>
      </w:r>
      <w:r>
        <w:rPr>
          <w:rFonts w:hint="eastAsia" w:ascii="仿宋" w:hAnsi="仿宋" w:eastAsia="仿宋" w:cs="仿宋"/>
          <w:color w:val="181717" w:themeColor="background2" w:themeShade="1A"/>
          <w:sz w:val="28"/>
          <w:szCs w:val="28"/>
          <w:u w:val="none"/>
        </w:rPr>
        <w:fldChar w:fldCharType="separate"/>
      </w:r>
      <w:r>
        <w:rPr>
          <w:rStyle w:val="12"/>
          <w:rFonts w:hint="eastAsia" w:ascii="仿宋" w:hAnsi="仿宋" w:eastAsia="仿宋" w:cs="仿宋"/>
          <w:color w:val="181717" w:themeColor="background2" w:themeShade="1A"/>
          <w:sz w:val="28"/>
          <w:szCs w:val="28"/>
          <w:u w:val="none"/>
        </w:rPr>
        <w:t>点击报名</w:t>
      </w:r>
      <w:r>
        <w:rPr>
          <w:rFonts w:hint="eastAsia" w:ascii="仿宋" w:hAnsi="仿宋" w:eastAsia="仿宋" w:cs="仿宋"/>
          <w:color w:val="181717" w:themeColor="background2" w:themeShade="1A"/>
          <w:sz w:val="28"/>
          <w:szCs w:val="28"/>
          <w:u w:val="none"/>
        </w:rPr>
        <w:fldChar w:fldCharType="end"/>
      </w:r>
    </w:p>
    <w:p>
      <w:pPr>
        <w:pStyle w:val="6"/>
        <w:keepNext w:val="0"/>
        <w:keepLines w:val="0"/>
        <w:widowControl/>
        <w:suppressLineNumbers w:val="0"/>
        <w:spacing w:line="21" w:lineRule="atLeast"/>
        <w:rPr>
          <w:rFonts w:hint="eastAsia" w:ascii="仿宋" w:hAnsi="仿宋" w:eastAsia="仿宋" w:cs="仿宋"/>
          <w:color w:val="181717" w:themeColor="background2" w:themeShade="1A"/>
          <w:sz w:val="28"/>
          <w:szCs w:val="28"/>
        </w:rPr>
      </w:pPr>
      <w:r>
        <w:rPr>
          <w:rFonts w:hint="eastAsia" w:ascii="仿宋" w:hAnsi="仿宋" w:eastAsia="仿宋" w:cs="仿宋"/>
          <w:color w:val="181717" w:themeColor="background2" w:themeShade="1A"/>
          <w:sz w:val="28"/>
          <w:szCs w:val="28"/>
        </w:rPr>
        <w:t xml:space="preserve">（四）金属器：12月3日-7日（5天）北京   </w:t>
      </w:r>
      <w:r>
        <w:rPr>
          <w:rFonts w:hint="eastAsia" w:ascii="仿宋" w:hAnsi="仿宋" w:eastAsia="仿宋" w:cs="仿宋"/>
          <w:color w:val="181717" w:themeColor="background2" w:themeShade="1A"/>
          <w:sz w:val="28"/>
          <w:szCs w:val="28"/>
          <w:u w:val="none"/>
        </w:rPr>
        <w:fldChar w:fldCharType="begin"/>
      </w:r>
      <w:r>
        <w:rPr>
          <w:rFonts w:hint="eastAsia" w:ascii="仿宋" w:hAnsi="仿宋" w:eastAsia="仿宋" w:cs="仿宋"/>
          <w:color w:val="181717" w:themeColor="background2" w:themeShade="1A"/>
          <w:sz w:val="28"/>
          <w:szCs w:val="28"/>
          <w:u w:val="none"/>
        </w:rPr>
        <w:instrText xml:space="preserve"> HYPERLINK "http://www.caa123.org.cn/frontCcSignOfferDetailAction.do?method=doSignOfferDetail&amp;key=3725" \t "http://www.caa123.org.cn/_blank" </w:instrText>
      </w:r>
      <w:r>
        <w:rPr>
          <w:rFonts w:hint="eastAsia" w:ascii="仿宋" w:hAnsi="仿宋" w:eastAsia="仿宋" w:cs="仿宋"/>
          <w:color w:val="181717" w:themeColor="background2" w:themeShade="1A"/>
          <w:sz w:val="28"/>
          <w:szCs w:val="28"/>
          <w:u w:val="none"/>
        </w:rPr>
        <w:fldChar w:fldCharType="separate"/>
      </w:r>
      <w:r>
        <w:rPr>
          <w:rStyle w:val="12"/>
          <w:rFonts w:hint="eastAsia" w:ascii="仿宋" w:hAnsi="仿宋" w:eastAsia="仿宋" w:cs="仿宋"/>
          <w:color w:val="181717" w:themeColor="background2" w:themeShade="1A"/>
          <w:sz w:val="28"/>
          <w:szCs w:val="28"/>
          <w:u w:val="none"/>
        </w:rPr>
        <w:t>点击报名</w:t>
      </w:r>
      <w:r>
        <w:rPr>
          <w:rFonts w:hint="eastAsia" w:ascii="仿宋" w:hAnsi="仿宋" w:eastAsia="仿宋" w:cs="仿宋"/>
          <w:color w:val="181717" w:themeColor="background2" w:themeShade="1A"/>
          <w:sz w:val="28"/>
          <w:szCs w:val="28"/>
          <w:u w:val="none"/>
        </w:rPr>
        <w:fldChar w:fldCharType="end"/>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181717" w:themeColor="background2" w:themeShade="1A"/>
          <w:sz w:val="28"/>
          <w:szCs w:val="28"/>
        </w:rPr>
        <w:t xml:space="preserve">（五）杂项：12月24-28日（5天）上海       </w:t>
      </w:r>
      <w:r>
        <w:rPr>
          <w:rFonts w:hint="eastAsia" w:ascii="仿宋" w:hAnsi="仿宋" w:eastAsia="仿宋" w:cs="仿宋"/>
          <w:color w:val="181717" w:themeColor="background2" w:themeShade="1A"/>
          <w:sz w:val="28"/>
          <w:szCs w:val="28"/>
          <w:u w:val="none"/>
        </w:rPr>
        <w:fldChar w:fldCharType="begin"/>
      </w:r>
      <w:r>
        <w:rPr>
          <w:rFonts w:hint="eastAsia" w:ascii="仿宋" w:hAnsi="仿宋" w:eastAsia="仿宋" w:cs="仿宋"/>
          <w:color w:val="181717" w:themeColor="background2" w:themeShade="1A"/>
          <w:sz w:val="28"/>
          <w:szCs w:val="28"/>
          <w:u w:val="none"/>
        </w:rPr>
        <w:instrText xml:space="preserve"> HYPERLINK "http://www.caa123.org.cn/frontCcSignOfferDetailAction.do?method=doSignOfferDetail&amp;key=3729" \t "http://www.caa123.org.cn/_blank" </w:instrText>
      </w:r>
      <w:r>
        <w:rPr>
          <w:rFonts w:hint="eastAsia" w:ascii="仿宋" w:hAnsi="仿宋" w:eastAsia="仿宋" w:cs="仿宋"/>
          <w:color w:val="181717" w:themeColor="background2" w:themeShade="1A"/>
          <w:sz w:val="28"/>
          <w:szCs w:val="28"/>
          <w:u w:val="none"/>
        </w:rPr>
        <w:fldChar w:fldCharType="separate"/>
      </w:r>
      <w:r>
        <w:rPr>
          <w:rStyle w:val="12"/>
          <w:rFonts w:hint="eastAsia" w:ascii="仿宋" w:hAnsi="仿宋" w:eastAsia="仿宋" w:cs="仿宋"/>
          <w:color w:val="181717" w:themeColor="background2" w:themeShade="1A"/>
          <w:sz w:val="28"/>
          <w:szCs w:val="28"/>
          <w:u w:val="none"/>
        </w:rPr>
        <w:t>点击报名</w:t>
      </w:r>
      <w:r>
        <w:rPr>
          <w:rFonts w:hint="eastAsia" w:ascii="仿宋" w:hAnsi="仿宋" w:eastAsia="仿宋" w:cs="仿宋"/>
          <w:color w:val="181717" w:themeColor="background2" w:themeShade="1A"/>
          <w:sz w:val="28"/>
          <w:szCs w:val="28"/>
          <w:u w:val="none"/>
        </w:rPr>
        <w:fldChar w:fldCharType="end"/>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333333"/>
          <w:sz w:val="28"/>
          <w:szCs w:val="28"/>
        </w:rPr>
        <w:t>三、教学安排</w:t>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333333"/>
          <w:sz w:val="28"/>
          <w:szCs w:val="28"/>
        </w:rPr>
        <w:t>（一）师资结构</w:t>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333333"/>
          <w:sz w:val="28"/>
          <w:szCs w:val="28"/>
        </w:rPr>
        <w:t>1、国家鉴定委员会委员、国家文物出境鉴定站责任鉴定、博物馆研究员和高校教师；</w:t>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333333"/>
          <w:sz w:val="28"/>
          <w:szCs w:val="28"/>
        </w:rPr>
        <w:t>2、国内顶尖拍卖行高管、业务部门负责人等市场一线专家；</w:t>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333333"/>
          <w:sz w:val="28"/>
          <w:szCs w:val="28"/>
        </w:rPr>
        <w:t xml:space="preserve">3、国内外知名艺术家、收藏家。 </w:t>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333333"/>
          <w:sz w:val="28"/>
          <w:szCs w:val="28"/>
        </w:rPr>
        <w:t xml:space="preserve">（二）教学方式 </w:t>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333333"/>
          <w:sz w:val="28"/>
          <w:szCs w:val="28"/>
        </w:rPr>
        <w:t>1、课堂面授</w:t>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333333"/>
          <w:sz w:val="28"/>
          <w:szCs w:val="28"/>
        </w:rPr>
        <w:t>系统学习及重点讲授各时期器物的品种、特征、工艺、手法及主要鉴定方法，梳理文物拍卖相关法律法规要点；</w:t>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333333"/>
          <w:sz w:val="28"/>
          <w:szCs w:val="28"/>
        </w:rPr>
        <w:t>2、实践教学</w:t>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333333"/>
          <w:sz w:val="28"/>
          <w:szCs w:val="28"/>
        </w:rPr>
        <w:t xml:space="preserve">标本上手，博物馆展品、拍企库房、艺术工作室参观等。 </w:t>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333333"/>
          <w:sz w:val="28"/>
          <w:szCs w:val="28"/>
        </w:rPr>
        <w:t xml:space="preserve">（三）培训教材 </w:t>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333333"/>
          <w:sz w:val="28"/>
          <w:szCs w:val="28"/>
        </w:rPr>
        <w:t>1、文物拍卖企业专业人员认证考试大纲参考书目；</w:t>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333333"/>
          <w:sz w:val="28"/>
          <w:szCs w:val="28"/>
        </w:rPr>
        <w:t>2、内部讲义。</w:t>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333333"/>
          <w:sz w:val="28"/>
          <w:szCs w:val="28"/>
        </w:rPr>
        <w:t>四、报名缴费</w:t>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333333"/>
          <w:sz w:val="28"/>
          <w:szCs w:val="28"/>
        </w:rPr>
        <w:t>1、每班限招50人。</w:t>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333333"/>
          <w:sz w:val="28"/>
          <w:szCs w:val="28"/>
        </w:rPr>
        <w:t>2、费用：人民币4800元/人/班</w:t>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333333"/>
          <w:sz w:val="28"/>
          <w:szCs w:val="28"/>
        </w:rPr>
        <w:t>（包含学费、标本上手、内部讲义、习题集、电子教材、结业证书、500元报名费）</w:t>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333333"/>
          <w:sz w:val="28"/>
          <w:szCs w:val="28"/>
        </w:rPr>
        <w:t>3、注册拍卖师可折算2018年继续教育40学时。</w:t>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333333"/>
          <w:sz w:val="28"/>
          <w:szCs w:val="28"/>
        </w:rPr>
        <w:t>4、缴费：登陆中拍网，点击上文红色报名链接处，填写报名信息，网上银行缴费。显示已缴费即报名成功。</w:t>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333333"/>
          <w:sz w:val="28"/>
          <w:szCs w:val="28"/>
        </w:rPr>
        <w:t>5、退课：缴费后，因故退课者，需于开课前7日提交书面申请，方可全额退款，否则将扣除500元报名费。</w:t>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333333"/>
          <w:sz w:val="28"/>
          <w:szCs w:val="28"/>
        </w:rPr>
        <w:t>6、提供培训酒店住宿预定服务，费用自理。</w:t>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333333"/>
          <w:sz w:val="28"/>
          <w:szCs w:val="28"/>
        </w:rPr>
        <w:t>温馨提示：请准确填写上课人的联络信息，报名成功后将以邮件形式通知上课地点和预习资料。</w:t>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333333"/>
          <w:sz w:val="28"/>
          <w:szCs w:val="28"/>
        </w:rPr>
        <w:t>五、咨询</w:t>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333333"/>
          <w:sz w:val="28"/>
          <w:szCs w:val="28"/>
        </w:rPr>
        <w:t>联系人：刘聪、刘颂、季乐</w:t>
      </w:r>
    </w:p>
    <w:p>
      <w:pPr>
        <w:pStyle w:val="6"/>
        <w:keepNext w:val="0"/>
        <w:keepLines w:val="0"/>
        <w:widowControl/>
        <w:suppressLineNumbers w:val="0"/>
        <w:spacing w:line="21" w:lineRule="atLeast"/>
        <w:rPr>
          <w:rFonts w:hint="eastAsia" w:ascii="仿宋" w:hAnsi="仿宋" w:eastAsia="仿宋" w:cs="仿宋"/>
          <w:sz w:val="28"/>
          <w:szCs w:val="28"/>
        </w:rPr>
      </w:pPr>
      <w:r>
        <w:rPr>
          <w:rFonts w:hint="eastAsia" w:ascii="仿宋" w:hAnsi="仿宋" w:eastAsia="仿宋" w:cs="仿宋"/>
          <w:color w:val="333333"/>
          <w:sz w:val="28"/>
          <w:szCs w:val="28"/>
        </w:rPr>
        <w:t xml:space="preserve">电 话：010-64931499-8002/8001/8003 </w:t>
      </w:r>
    </w:p>
    <w:p>
      <w:pPr>
        <w:tabs>
          <w:tab w:val="left" w:pos="943"/>
        </w:tabs>
        <w:rPr>
          <w:rFonts w:ascii="仿宋" w:hAnsi="仿宋" w:eastAsia="仿宋" w:cstheme="minorBidi"/>
          <w:kern w:val="2"/>
          <w:sz w:val="30"/>
          <w:szCs w:val="30"/>
          <w:lang w:val="en-US" w:eastAsia="zh-CN" w:bidi="ar-SA"/>
        </w:rPr>
      </w:pPr>
    </w:p>
    <w:p>
      <w:pPr>
        <w:spacing w:line="460" w:lineRule="exact"/>
        <w:rPr>
          <w:rFonts w:ascii="仿宋" w:hAnsi="仿宋" w:eastAsia="仿宋" w:cs="仿宋_GB2312"/>
          <w:b/>
          <w:bCs/>
          <w:sz w:val="44"/>
          <w:szCs w:val="44"/>
          <w:bdr w:val="single" w:color="auto" w:sz="4" w:space="0"/>
        </w:rPr>
      </w:pPr>
      <w:r>
        <w:rPr>
          <w:rFonts w:hint="eastAsia" w:ascii="仿宋" w:hAnsi="仿宋" w:eastAsia="仿宋" w:cs="仿宋_GB2312"/>
          <w:b/>
          <w:bCs/>
          <w:sz w:val="44"/>
          <w:szCs w:val="44"/>
          <w:bdr w:val="single" w:color="auto" w:sz="4" w:space="0"/>
          <w:lang w:val="en-US" w:eastAsia="zh-CN"/>
        </w:rPr>
        <w:t>行业资讯</w:t>
      </w:r>
    </w:p>
    <w:p>
      <w:pPr>
        <w:spacing w:line="460" w:lineRule="exact"/>
        <w:rPr>
          <w:rFonts w:ascii="仿宋" w:hAnsi="仿宋" w:eastAsia="仿宋" w:cs="仿宋_GB2312"/>
          <w:b/>
          <w:bCs/>
          <w:sz w:val="44"/>
          <w:szCs w:val="44"/>
          <w:bdr w:val="single" w:color="auto" w:sz="4" w:space="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rPr>
          <w:rFonts w:hint="eastAsia" w:ascii="Arial" w:hAnsi="Arial" w:cs="Arial"/>
          <w:b w:val="0"/>
          <w:i w:val="0"/>
          <w:caps w:val="0"/>
          <w:color w:val="333333"/>
          <w:spacing w:val="0"/>
          <w:sz w:val="24"/>
          <w:szCs w:val="24"/>
          <w:shd w:val="clear" w:fill="FFFFFF"/>
          <w:lang w:eastAsia="zh-CN"/>
        </w:rPr>
      </w:pPr>
      <w:r>
        <w:rPr>
          <w:rFonts w:hint="eastAsia" w:ascii="Arial" w:hAnsi="Arial" w:cs="Arial"/>
          <w:b w:val="0"/>
          <w:i w:val="0"/>
          <w:caps w:val="0"/>
          <w:color w:val="333333"/>
          <w:spacing w:val="0"/>
          <w:sz w:val="24"/>
          <w:szCs w:val="24"/>
          <w:shd w:val="clear" w:fill="FFFFFF"/>
          <w:lang w:eastAsia="zh-CN"/>
        </w:rPr>
        <w:tab/>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rPr>
          <w:rFonts w:hint="eastAsia" w:ascii="Arial" w:hAnsi="Arial" w:cs="Arial"/>
          <w:b w:val="0"/>
          <w:i w:val="0"/>
          <w:caps w:val="0"/>
          <w:color w:val="333333"/>
          <w:spacing w:val="0"/>
          <w:sz w:val="24"/>
          <w:szCs w:val="24"/>
          <w:shd w:val="clear" w:fill="FFFFFF"/>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723" w:firstLineChars="200"/>
        <w:rPr>
          <w:rFonts w:hint="eastAsia" w:ascii="仿宋" w:hAnsi="仿宋" w:eastAsia="仿宋" w:cs="仿宋"/>
          <w:b/>
          <w:i w:val="0"/>
          <w:caps w:val="0"/>
          <w:color w:val="000000"/>
          <w:spacing w:val="0"/>
          <w:sz w:val="36"/>
          <w:szCs w:val="36"/>
        </w:rPr>
      </w:pPr>
      <w:r>
        <w:rPr>
          <w:rFonts w:hint="eastAsia" w:ascii="仿宋" w:hAnsi="仿宋" w:eastAsia="仿宋" w:cs="仿宋"/>
          <w:b/>
          <w:i w:val="0"/>
          <w:caps w:val="0"/>
          <w:color w:val="000000"/>
          <w:spacing w:val="0"/>
          <w:sz w:val="36"/>
          <w:szCs w:val="36"/>
          <w:shd w:val="clear" w:fill="FFFFFF"/>
        </w:rPr>
        <w:t>五部门联合印发《涉案文物鉴定评估管理办法》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right="0" w:firstLine="560" w:firstLineChars="20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日前，最高人民法院、最高人民检察院、国家文物局、公安部、海关总署联合印发《涉案文物鉴定评估管理办法》。据经济日报-中国经济网文化产业频道了解，该办法共分六章五十六条，对涉案文物鉴定评估的相关定义和基本原则、涉案文物鉴定评估的范围内容、涉案文物鉴定评估的机构条件和人员标准、涉案文物鉴定评估的委托受理组织和实施程序、涉案文物鉴定评估的监督管理以及相关执行等六方面问题，作了全面系统的规定，并附有涉案文物鉴定评估报告格式文本和涉案文物鉴定评估委托书参考文本，构建了涉案文物鉴定评估的基础管理制度。&gt;&gt;&gt;更多政策可查看中国经济网“中国文化产业政策库”</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以下为《办法》全文。</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i w:val="0"/>
          <w:caps w:val="0"/>
          <w:color w:val="333333"/>
          <w:spacing w:val="0"/>
          <w:sz w:val="28"/>
          <w:szCs w:val="28"/>
          <w:shd w:val="clear" w:fill="FFFFFF"/>
        </w:rPr>
        <w:t>最高人民法院、最高人民检察院、国家文物局、公安部、海关总署</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i w:val="0"/>
          <w:caps w:val="0"/>
          <w:color w:val="333333"/>
          <w:spacing w:val="0"/>
          <w:sz w:val="28"/>
          <w:szCs w:val="28"/>
          <w:shd w:val="clear" w:fill="FFFFFF"/>
        </w:rPr>
        <w:t>关于印发《涉案文物鉴定评估管理办法》的通知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文物博发〔2018〕4号</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各省、自治区、直辖市高级人民法院、人民检察院、文物局（文化厅）、公安厅（局），解放军军事法院、军事检察院，新疆维吾尔自治区高级人民法院生产建设兵团分院，新疆生产建设兵团人民检察院、文物局、公安局，海关总署广东分署、各直属海关：</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为贯彻落实《国务院关于进一步加强文物工作的指导意见》（国发〔2016〕17号）和《国务院办公厅关于进一步加强文物安全工作的实施意见》（国办发〔2017〕81号）的要求，规范涉案文物鉴定评估活动，打击文物违法犯罪活动，根据《最高人民法院、最高人民检察院关于办理妨害文物管理等刑事案件适用法律若干问题的解释》（法释〔2015〕23号），国家文物局、最高人民法院、最高人民检察院、公安部、海关总署共同制定了《涉案文物鉴定评估管理办法》。现印发给你们，请认真遵照执行。</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附件：涉案文物鉴定评估管理办法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最高人民法院、最高人民检察院、</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国家文物局、公安部、海关总署</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2018年6月20日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附件：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i w:val="0"/>
          <w:caps w:val="0"/>
          <w:color w:val="333333"/>
          <w:spacing w:val="0"/>
          <w:sz w:val="28"/>
          <w:szCs w:val="28"/>
          <w:shd w:val="clear" w:fill="FFFFFF"/>
        </w:rPr>
        <w:t>涉案文物鉴定评估管理办法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第一章 总 则</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第一条 为适应人民法院、人民检察院和公安机关等办案机关办理文物犯罪刑事案件的需要，规范涉案文物鉴定评估活动，保证涉案文物鉴定评估质量，根据《中华人民共和国文物保护法》、《最高人民法院、最高人民检察院关于办理妨害文物管理等刑事案件适用法律若干问题的解释》和有关法律法规，制定本办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第二条 本办法所称涉案文物，专指文物犯罪刑事案件涉及的文物或者疑似文物。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本办法所称涉案文物鉴定评估，是指涉案文物鉴定评估机构组织文物鉴定评估人员，运用专门知识或者科学技术对涉案文物的专门性问题进行鉴别、判断、评估并提供鉴定评估报告的活动。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第三条 国家文物局指定的涉案文物鉴定评估机构和予以备案的文物鉴定评估人员开展涉案文物鉴定评估活动，适用本办法。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第四条 涉案文物鉴定评估机构开展涉案文物鉴定评估活动，应当遵循合法、独立、客观、公正的原则。</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第五条 文物鉴定评估人员在涉案文物鉴定评估活动中，应当遵守法律法规，遵守职业道德和职业纪律，尊重科学，遵守标准规范。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第六条 国家文物局负责遴选指定涉案文物鉴定评估机构，制定涉案文物鉴定评估管理制度和标准规范，对全国涉案文物鉴定评估工作进行宏观指导。</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第七条 省级文物行政部门负责推荐本行政区域内涉案文物鉴定评估机构，对涉案文物鉴定评估工作进行监督管理。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省级文物行政部门应当保障本行政区域内涉案文物鉴定评估机构开展涉案文物鉴定评估工作所需的业务经费。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第八条 涉案文物鉴定评估机构的发展应当符合统筹规划、合理布局、严格标准、确保质量的要求。</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第二章 鉴定评估范围和内容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第九条 涉案文物鉴定评估范围涵盖可移动文物和不可移动文物。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（一）可移动文物鉴定评估类别包括陶瓷器、玉石器、金属器、书画、杂项等五个类别。</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（二）不可移动文物鉴定评估类别包括古文化遗址、古墓葬、古建筑、石窟寺及石刻、近现代重要史迹及代表性建筑、其他等六个类别。</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第十条 已被拆解的不可移动文物的构件，涉案文物鉴定评估机构可以应办案机关的要求，将其作为可移动文物进行鉴定评估。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第十一条 可移动文物鉴定评估内容包括：</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（一）确定疑似文物是否属于文物；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（二）确定文物产生或者制作的时代；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（三）评估文物的历史、艺术、科学价值，确定文物级别；</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（四）评估有关行为对文物造成的损毁程度；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（五）评估有关行为对文物价值造成的影响；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（六）其他需要鉴定评估的文物专门性问题。</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可移动文物及其等级已经文物行政部门认定的，涉案文物鉴定评估机构不再对上述第一至三项内容进行鉴定评估。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第十二条 不可移动文物鉴定评估内容包括：</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（一）确定疑似文物是否属于古文化遗址、古墓葬；</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（二）评估有关行为对文物造成的损毁程度；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（三）评估有关行为对文物价值造成的影响；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（四）其他需要鉴定评估的文物专门性问题。</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不可移动文物及其等级已经文物行政部门认定的，涉案文物鉴定评估机构不再对上述第一项内容进行鉴定评估。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第十三条 涉案文物鉴定评估机构可以根据自身专业条件，并应办案机关的要求，对文物的经济价值进行评估。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第三章 鉴定评估机构和人员</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第十四条 国有文物博物馆机构申请从事涉案文物鉴定评估业务，应当具备下列条件：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（一）有独立法人资格；</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（二）有固定的办公场所和必要的文物鉴定技术设备；</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（三）能够从事本办法第九条规定的可移动文物所有类别或者不可移动文物所有类别的鉴定评估业务，每类别有三名以上专职或者兼职的文物鉴定评估人员；</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（四）有一定数量的专职文物鉴定评估人员；</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（五）具备一定的文物鉴定评估组织工作经验。</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第十五条 国有文物博物馆机构申请从事涉案文物鉴定评估业务，应当提交下列材料：</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（一）申请从事涉案文物鉴定评估业务的文件；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（二）涉案文物鉴定评估机构申请表；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（三）文物鉴定评估人员登记表；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（四）法人证书复印件或者证明法人资格的相关文件；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（五）此前组织开展文物鉴定评估工作的相关情况说明。</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第十六条 省级文物行政部门按照本办法第十四条规定的条件，对本行政区域内申请从事涉案文物鉴定评估业务的国有文物博物馆机构进行初审，初审合格的报国家文物局。</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国家文物局对各省上报的机构进行遴选，指定其中符合要求的为涉案文物鉴定评估机构，并通过适当方式向社会公告。</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第十七条 涉案文物鉴定评估机构的文物鉴定评估人员，应当至少符合下列条件之一：</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（一）取得文物博物及相关系列中级以上专业技术职务，并有至少持续五年文物鉴定实践经历；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（二）是文物进出境责任鉴定人员；</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（三）是国家或者省级文物鉴定委员会委员。</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第十八条 省级文物行政部门按照本办法第十七条规定的条件，对拟从事涉案文物鉴定评估工作的文物鉴定评估人员进行审核，审核合格的报国家文物局备案。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第十九条 涉案文物鉴定评估机构的文物鉴定评估人员只能在一个鉴定评估机构中任职（包括兼职），但可以接受其他涉案文物鉴定评估机构的聘请，从事特定事项的涉案文物鉴定评估活动。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文物鉴定评估人员不得私自接受涉案文物鉴定评估委托。</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第四章 鉴定评估程序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第一节 委托与受理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第二十条 涉案文物鉴定评估机构受理所在省（自治区、直辖市）行政区域内人民法院、人民检察院和公安机关等办案机关的涉案文物鉴定评估委托。</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第二十一条 办案机关委托文物鉴定评估的，应当向涉案文物鉴定评估机构提供立案决定书、办案机关介绍信或者委托函、鉴定评估物品清单、照片、资料等必要的鉴定评估材料，并对鉴定评估材料的真实性、合法性负责。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经双方同意，办案机关可以将鉴定评估文物暂时委托涉案文物鉴定评估机构保管。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第二十二条 涉案文物鉴定评估机构收到鉴定评估材料和鉴定评估文物后，应当详细查验并进行登记，并严格开展鉴定评估文物和其他鉴定评估材料的交接、保管、使用和退还工作。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第二十三条 涉案文物鉴定评估机构对属于本机构涉案文物鉴定评估业务范围，鉴定评估用途合法，提供的鉴定评估材料能够满足鉴定评估需要的鉴定评估委托，应当受理。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鉴定评估材料不完整、不充分，不能满足鉴定评估需要的，涉案文物鉴定评估机构可以要求委托办案机关进行补充。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委托办案机关故意提供虚假鉴定评估材料的，涉案文物鉴定评估机构应当主动向委托办案机关的上级部门报告。</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第二十四条 有下列情形之一的鉴定评估委托，涉案文物鉴定评估机构不予受理：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（一）委托主体不符合本办法对办案机关的规定的；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（二）委托鉴定评估物品不符合本办法对涉案文物的规定的；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（三）鉴定评估范围和内容不属于涉案文物鉴定评估机构业务范围或者不符合本办法规定的；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（四）鉴定评估材料不具备鉴定评估条件或者与鉴定评估要求不相符的。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第二十五条 涉案文物鉴定评估机构应当自收到鉴定评估材料之日起五个工作日内，作出是否受理鉴定评估委托的决定。</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第二十六条 涉案文物鉴定评估机构决定受理鉴定评估委托的，应当与委托办案机关签订涉案文物鉴定评估委托书。鉴定评估委托书应当载明委托办案机关名称、涉案文物鉴定评估机构名称、委托鉴定评估内容、鉴定评估时限以及双方权利义务等事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第二十七条 涉案文物鉴定评估机构决定不予受理鉴定评估委托的，应当向委托主体说明理由，并退还鉴定评估材料。</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第二十八条 对于本办法三十五条第二款和三十六条第一款规定的鉴定评估终止情形，或者因其它重大特殊原因，办案机关可以申请跨行政区域委托涉案文物鉴定评估。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跨行政区域委托涉案文物鉴定评估的，由办案机关所在地省级文物行政部门商拟委托涉案文物鉴定评估机构所在地省级文物行政部门，共同确定具有相应鉴定评估能力的涉案文物鉴定评估机构开展。协商不成的，可以由办案机关所在地省级文物行政部门报国家文物局指定。</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第二节 鉴定评估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第二十九条 涉案文物鉴定评估机构接受鉴定评估委托后，应当组织本机构与委托鉴定评估文物类别一致的文物鉴定评估人员进行鉴定评估。每类别文物鉴定评估应当有两名以上文物鉴定评估人员参加鉴定评估。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对复杂、疑难和重大案件所涉的鉴定评估事项，可以聘请其他涉案文物鉴定评估机构相关文物类别的文物鉴定评估人员参加鉴定评估。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第三十条 文物鉴定评估人员有下列情形之一的，应当自行回避，涉案文物鉴定评估机构负责人也应当要求其回避：</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（一）是案件的当事人或者是当事人的近亲属的；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（二）本人或者其近亲属与案件有利害关系；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（三）与案件当事人和案件有其他关系，可能影响其独立、客观、公正鉴定评估的。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第三十一条 可移动文物的鉴定评估，应当依托涉案文物实物开展，并依照相关标准和技术规范进行。</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第三十二条 不可移动文物的鉴定评估，应当到涉案文物所在地现场开展调查研究，并依照相关标准和技术规范进行。</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第三十三条 涉案文物鉴定评估过程中，需要进行有损科技检测的，涉案文物鉴定评估机构应当征得委托办案机关书面同意。文物鉴定评估人员应当对科技检测的手段、过程和结果进行记录，并签名存档备查。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第三十四条 涉案文物鉴定评估采取文物鉴定评估人员独立鉴定评估和合议相结合的方式进行。文物鉴定评估人员应当对鉴定评估的方法、过程和结论进行记录，并签名存档备查。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第三十五条 鉴定评估活动完成后，涉案文物鉴定评估机构应当对文物鉴定评估人员作出的鉴定评估意见进行审查，对鉴定评估意见一致的出具鉴定评估报告。</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鉴定评估意见不一致的，涉案文物鉴定评估机构应当组织原鉴定人员以外的文物鉴定评估人员再次进行鉴定评估，再次鉴定评估意见一致的出具鉴定评估报告；再次鉴定评估意见仍不一致的，可以终止鉴定评估，涉案文物鉴定评估机构应当书面通知委托办案机关终止鉴定评估决定并说明理由。</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第三十六条 有下列情形之一的，涉案文物鉴定评估机构可以终止鉴定评估：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（一）在鉴定评估过程中发现本机构难以解决的技术性问题的；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（二）确需补充鉴定评估材料而委托办案机关无法补充的；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（三）委托办案机关要求终止鉴定评估的；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（四）其他需要终止鉴定评估的情形。</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除上述第三项情形外，涉案文物鉴定评估机构应当书面通知委托办案机关终止鉴定评估决定并说明理由。</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第三十七条 有下列情形之一的，涉案文物鉴定评估机构应当接受办案机关委托进行重新鉴定评估：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（一）有明确证据证明鉴定评估报告内容有错误的；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（二）鉴定评估程序不符合本办法规定的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（三）文物鉴定评估人员故意作出虚假鉴定评估或者应当回避而未予回避的；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（四）其他可能影响鉴定评估客观、公正的情形。</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涉案文物鉴定评估机构应当组织原鉴定评估人员以外的文物鉴定评估人员进行重新鉴定评估。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鉴定评估报告中出现的明显属于错别字或者语言表述瑕疵的，可以由鉴定评估机构出具更正说明，更正说明属于原鉴定评估报告的组成部分。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第三十八条 有下列情形之一的，涉案文物鉴定评估机构应当根据办案机关要求进行补充鉴定评估：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（一）鉴定评估报告内容有遗漏的；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（二）鉴定评估报告意见不明确的；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（三）办案机关发现新的相关重要鉴定评估材料的；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（四）办案机关对涉案文物有新的鉴定评估要求的；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（五）鉴定评估报告不完整，委托事项无法确定的；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（六）其他需要补充鉴定评估的情形。</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280" w:firstLineChars="10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补充鉴定评估是原委托鉴定评估活动的组成部分，应当由涉案文物鉴定评估机构组织原文物鉴定评估人员进行。</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第三十九条 办案机关对有明确证据证明涉案文物鉴定评估机构重新出具的鉴定评估报告有错误的，可以由最高人民法院、最高人民检察院、公安部、海关总署商国家文物局，由国家文物局指定涉案文物鉴定评估机构进行再次鉴定评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第四十条 涉案文物鉴定评估机构一般应当自鉴定评估委托书签订之日起十五个工作日内完成鉴定评估。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因办案时限规定或者其他特殊事由，需要缩减或者延长鉴定评估时限的，由双方协商确定。延长鉴定评估时限的，一般不超过四十五个工作日。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第四十一条 涉案文物鉴定评估机构应当按照统一规定的文本格式制作鉴定评估报告。</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280" w:firstLineChars="10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鉴定评估报告一式五份，三份交委托办案机关，一份由涉案文物鉴定评估机构存档，一份在鉴定评估活动完成次月15日前报所在地省级文物行政部门备案。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第四十二条 鉴定评估事项结束后，涉案文物鉴定评估机构应当将鉴定评估报告以及在鉴定评估过程中产生的有关资料整理立卷、归档保管。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第四十三条 未经委托办案机关同意，涉案文物鉴定评估机构和文物鉴定评估人员不得向文物行政部门以外的其他组织或者个人提供与鉴定评估事项有关的信息。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第五章 监督管理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第四十四条 涉案文物鉴定评估机构应当于每年11月15日前，将本年度涉案文物鉴定评估业务情况和鉴定的涉案文物信息书面报告所在地省级文物行政部门。省级文物行政部门汇总后于当年12月1日前报送国家文物局。</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第四十五条 最高人民法院、最高人民检察院、公安部、海关总署直接办理或者督办的刑事案件所涉的文物鉴定评估，涉案文物鉴定评估机构应当在接受鉴定评估委托后，及时通过省级文物行政部门向国家文物局报告。</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第四十六条 涉案文物鉴定评估机构发生法定代表人、办公地点或者机构性质等重大事项变更，或者文物鉴定评估人员发生变动的，应当及时将相关情况通过省级文物行政部门报国家文物局备案。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第四十七条 省级文物行政部门应当对本行政区域内涉案文物鉴定评估机构进行不定期检查，发现问题或者有举报、投诉等情况的，应当及时进行调查处理。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第四十八条 涉案文物鉴定评估机构有下列情形之一的，由所在地省级文物行政部门给予警告，并责令其改正：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（一）超出本办法规定的涉案文物鉴定评估业务范围开展涉案文物鉴定评估活动的；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（二）组织未经国家文物局备案的文物鉴定评估人员开展涉案文物鉴定评估活动的；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（三）鉴定评估活动未按照本办法规定的程序要求和标准规范开展的；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（四）无正当理由拒绝接受涉案文物鉴定评估委托的；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（五）无正当理由超出鉴定评估时限的；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（六）法律、法规规定的其他情形。</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第四十九条 涉案文物鉴定评估机构有下列情形之一的，由所在地省级文物行政部门进行调查，国家文物局根据情节严重程度暂停或者终止其从事涉案文物鉴定评估业务：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（一）因严重不负责任造成鉴定评估报告内容明显错误的；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（二）因严重不负责任造成委托鉴定评估文物实物损毁、遗失的；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（三）法律、法规规定的其他情形。</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第五十条 文物鉴定评估人员有下列情形之一的，由所在涉案文物鉴定评估机构给予警告，并责令其改正：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（一）无正当理由拒绝接受涉案文物鉴定评估工作的；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（二）向委托办案机关私自收取鉴定评估费用的；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（三）法律、法规规定的其他情形。</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第五十一条 文物鉴定评估人员有下列情形之一的，由所在涉案文物鉴定评估机构给予警告，并责令其改正；情节严重的，报省级文物行政部门同意后暂停或者终止其开展涉案文物鉴定评估活动：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（一）应当回避而未予回避，造成恶劣影响的；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（二）违反职业道德和职业纪律，造成恶劣影响的；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（三）因严重不负责任造成委托鉴定评估文物实物损毁、遗失的；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（四）法律、法规规定的其他情形。</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第五十二条 涉案文物鉴定评估机构负责人在管理工作中滥用职权、玩忽职守造成严重后果的，依法追究相应的法律责任。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涉案文物鉴定评估机构负责人和文物鉴定评估人员故意出具虚假鉴定评估报告，或者故意隐匿、侵占、毁损委托鉴定评估文物，构成犯罪的，依法追究刑事责任。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第六章 附 则</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第五十三条 对古猿化石、古人类化石及其与人类活动有关的第四纪古脊椎动物化石的鉴定评估活动，依照本办法执行。</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第五十四条 涉案文物鉴定评估机构和文物鉴定评估人员开展行政案件、民事案件涉及文物的鉴定评估活动，可以参照本办法执行。</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第五十五条 对尚未登记公布的古文化遗址、古墓葬，县级以上文物行政部门可以依据已生效判决采纳的鉴定评估意见，依法开展登记公布工作。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30" w:beforeAutospacing="0" w:after="0" w:afterAutospacing="0" w:line="360" w:lineRule="atLeast"/>
        <w:ind w:left="0" w:right="0" w:firstLine="0"/>
        <w:jc w:val="both"/>
        <w:rPr>
          <w:rFonts w:hint="eastAsia" w:ascii="仿宋" w:hAnsi="仿宋" w:eastAsia="仿宋" w:cs="仿宋"/>
          <w:b w:val="0"/>
          <w:i w:val="0"/>
          <w:caps w:val="0"/>
          <w:color w:val="333333"/>
          <w:spacing w:val="0"/>
          <w:sz w:val="28"/>
          <w:szCs w:val="28"/>
        </w:rPr>
      </w:pPr>
      <w:r>
        <w:rPr>
          <w:rFonts w:hint="eastAsia" w:ascii="仿宋" w:hAnsi="仿宋" w:eastAsia="仿宋" w:cs="仿宋"/>
          <w:b w:val="0"/>
          <w:i w:val="0"/>
          <w:caps w:val="0"/>
          <w:color w:val="333333"/>
          <w:spacing w:val="0"/>
          <w:sz w:val="28"/>
          <w:szCs w:val="28"/>
          <w:shd w:val="clear" w:fill="FFFFFF"/>
        </w:rPr>
        <w:t>第五十六条 本办法自公布之日起实施。此前有关规定与本办法不一致的，以本办法为准。</w:t>
      </w:r>
    </w:p>
    <w:p>
      <w:pPr>
        <w:rPr>
          <w:rFonts w:ascii="仿宋" w:hAnsi="仿宋" w:eastAsia="仿宋" w:cstheme="minorBidi"/>
          <w:kern w:val="2"/>
          <w:sz w:val="30"/>
          <w:szCs w:val="30"/>
          <w:lang w:val="en-US" w:eastAsia="zh-CN" w:bidi="ar-SA"/>
        </w:rPr>
      </w:pPr>
    </w:p>
    <w:p>
      <w:pPr>
        <w:rPr>
          <w:rFonts w:ascii="仿宋" w:hAnsi="仿宋" w:eastAsia="仿宋" w:cstheme="minorBidi"/>
          <w:kern w:val="2"/>
          <w:sz w:val="30"/>
          <w:szCs w:val="30"/>
          <w:lang w:val="en-US" w:eastAsia="zh-CN" w:bidi="ar-SA"/>
        </w:rPr>
      </w:pPr>
    </w:p>
    <w:p>
      <w:pPr>
        <w:jc w:val="left"/>
        <w:rPr>
          <w:lang w:val="en-US" w:eastAsia="zh-CN"/>
        </w:rPr>
      </w:pPr>
    </w:p>
    <w:p>
      <w:pPr>
        <w:spacing w:line="460" w:lineRule="exact"/>
        <w:rPr>
          <w:rFonts w:ascii="仿宋" w:hAnsi="仿宋" w:eastAsia="仿宋" w:cs="仿宋_GB2312"/>
          <w:b/>
          <w:bCs/>
          <w:sz w:val="44"/>
          <w:szCs w:val="44"/>
          <w:bdr w:val="single" w:color="auto" w:sz="4" w:space="0"/>
        </w:rPr>
      </w:pPr>
      <w:r>
        <w:rPr>
          <w:rFonts w:hint="eastAsia" w:ascii="仿宋" w:hAnsi="仿宋" w:eastAsia="仿宋" w:cs="仿宋_GB2312"/>
          <w:b/>
          <w:bCs/>
          <w:sz w:val="44"/>
          <w:szCs w:val="44"/>
          <w:bdr w:val="single" w:color="auto" w:sz="4" w:space="0"/>
          <w:lang w:val="en-US" w:eastAsia="zh-CN"/>
        </w:rPr>
        <w:t>拍卖论坛</w:t>
      </w:r>
    </w:p>
    <w:p>
      <w:pPr>
        <w:ind w:firstLine="223" w:firstLineChars="0"/>
        <w:jc w:val="left"/>
        <w:rPr>
          <w:rFonts w:asciiTheme="minorHAnsi" w:hAnsiTheme="minorHAnsi" w:eastAsiaTheme="minorEastAsia" w:cstheme="minorBidi"/>
          <w:kern w:val="2"/>
          <w:sz w:val="21"/>
          <w:szCs w:val="24"/>
          <w:lang w:val="en-US" w:eastAsia="zh-CN" w:bidi="ar-SA"/>
        </w:rPr>
      </w:pPr>
    </w:p>
    <w:p>
      <w:pPr>
        <w:rPr>
          <w:rFonts w:asciiTheme="minorHAnsi" w:hAnsiTheme="minorHAnsi" w:eastAsiaTheme="minorEastAsia" w:cstheme="minorBidi"/>
          <w:kern w:val="2"/>
          <w:sz w:val="21"/>
          <w:szCs w:val="24"/>
          <w:lang w:val="en-US" w:eastAsia="zh-CN" w:bidi="ar-SA"/>
        </w:rPr>
      </w:pPr>
    </w:p>
    <w:p>
      <w:pPr>
        <w:rPr>
          <w:rFonts w:asciiTheme="minorHAnsi" w:hAnsiTheme="minorHAnsi" w:eastAsiaTheme="minorEastAsia" w:cstheme="minorBidi"/>
          <w:kern w:val="2"/>
          <w:sz w:val="21"/>
          <w:szCs w:val="24"/>
          <w:lang w:val="en-US" w:eastAsia="zh-CN" w:bidi="ar-SA"/>
        </w:rPr>
      </w:pPr>
    </w:p>
    <w:p>
      <w:pPr>
        <w:tabs>
          <w:tab w:val="left" w:pos="2413"/>
        </w:tabs>
        <w:jc w:val="left"/>
        <w:rPr>
          <w:rFonts w:hint="eastAsia" w:ascii="仿宋" w:hAnsi="仿宋" w:eastAsia="仿宋" w:cs="仿宋"/>
          <w:kern w:val="2"/>
          <w:sz w:val="36"/>
          <w:szCs w:val="36"/>
          <w:lang w:val="en-US" w:eastAsia="zh-CN" w:bidi="ar-SA"/>
        </w:rPr>
      </w:pPr>
      <w:r>
        <w:rPr>
          <w:rFonts w:hint="eastAsia" w:cstheme="minorBidi"/>
          <w:kern w:val="2"/>
          <w:sz w:val="21"/>
          <w:szCs w:val="24"/>
          <w:lang w:val="en-US" w:eastAsia="zh-CN" w:bidi="ar-SA"/>
        </w:rPr>
        <w:tab/>
      </w:r>
      <w:r>
        <w:rPr>
          <w:rFonts w:hint="eastAsia" w:ascii="仿宋" w:hAnsi="仿宋" w:eastAsia="仿宋" w:cs="仿宋"/>
          <w:kern w:val="2"/>
          <w:sz w:val="36"/>
          <w:szCs w:val="36"/>
          <w:lang w:val="en-US" w:eastAsia="zh-CN" w:bidi="ar-SA"/>
        </w:rPr>
        <w:t>茶器拍卖 看小物件大手笔</w:t>
      </w:r>
    </w:p>
    <w:p>
      <w:pPr>
        <w:rPr>
          <w:rFonts w:hint="eastAsia" w:ascii="仿宋" w:hAnsi="仿宋" w:eastAsia="仿宋" w:cs="仿宋"/>
          <w:kern w:val="2"/>
          <w:sz w:val="36"/>
          <w:szCs w:val="36"/>
          <w:lang w:val="en-US" w:eastAsia="zh-CN" w:bidi="ar-SA"/>
        </w:rPr>
      </w:pPr>
    </w:p>
    <w:p>
      <w:pPr>
        <w:tabs>
          <w:tab w:val="left" w:pos="3133"/>
        </w:tabs>
        <w:rPr>
          <w:rFonts w:hint="eastAsia" w:ascii="仿宋" w:hAnsi="仿宋" w:eastAsia="仿宋" w:cs="仿宋"/>
          <w:kern w:val="2"/>
          <w:sz w:val="28"/>
          <w:szCs w:val="28"/>
          <w:lang w:val="en-US" w:eastAsia="zh-CN" w:bidi="ar-SA"/>
        </w:rPr>
      </w:pPr>
      <w:r>
        <w:rPr>
          <w:rFonts w:hint="eastAsia" w:cstheme="minorBidi"/>
          <w:kern w:val="2"/>
          <w:sz w:val="21"/>
          <w:szCs w:val="24"/>
          <w:lang w:val="en-US" w:eastAsia="zh-CN" w:bidi="ar-SA"/>
        </w:rPr>
        <w:tab/>
      </w:r>
      <w:r>
        <w:rPr>
          <w:rFonts w:hint="eastAsia" w:cstheme="minorBidi"/>
          <w:kern w:val="2"/>
          <w:sz w:val="21"/>
          <w:szCs w:val="24"/>
          <w:lang w:val="en-US" w:eastAsia="zh-CN" w:bidi="ar-SA"/>
        </w:rPr>
        <w:t xml:space="preserve">   </w:t>
      </w:r>
      <w:r>
        <w:rPr>
          <w:rFonts w:hint="eastAsia" w:ascii="仿宋" w:hAnsi="仿宋" w:eastAsia="仿宋" w:cs="仿宋"/>
          <w:kern w:val="2"/>
          <w:sz w:val="28"/>
          <w:szCs w:val="28"/>
          <w:lang w:val="en-US" w:eastAsia="zh-CN" w:bidi="ar-SA"/>
        </w:rPr>
        <w:t>文/逸然</w:t>
      </w:r>
    </w:p>
    <w:p>
      <w:pPr>
        <w:rPr>
          <w:rFonts w:hint="eastAsia" w:ascii="仿宋" w:hAnsi="仿宋" w:eastAsia="仿宋" w:cs="仿宋"/>
          <w:kern w:val="2"/>
          <w:sz w:val="28"/>
          <w:szCs w:val="28"/>
          <w:lang w:val="en-US" w:eastAsia="zh-CN" w:bidi="ar-SA"/>
        </w:rPr>
      </w:pPr>
    </w:p>
    <w:p>
      <w:pPr>
        <w:tabs>
          <w:tab w:val="left" w:pos="628"/>
        </w:tabs>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ab/>
      </w:r>
      <w:r>
        <w:rPr>
          <w:rFonts w:hint="eastAsia" w:ascii="仿宋" w:hAnsi="仿宋" w:eastAsia="仿宋" w:cs="仿宋"/>
          <w:kern w:val="2"/>
          <w:sz w:val="28"/>
          <w:szCs w:val="28"/>
          <w:lang w:val="en-US" w:eastAsia="zh-CN" w:bidi="ar-SA"/>
        </w:rPr>
        <w:t>6月14日，北京荣宝2018春拍举槌，在京城经营文物艺术品类拍企中举槌较早。在拍卖现场，记者关注了与大众生活关系密切的茶器专场拍卖。从拍场情况看，今春茶器类拍品成交情况平稳。在现场，记者注意到无底价拍品较受买家追捧。</w:t>
      </w:r>
    </w:p>
    <w:p>
      <w:pPr>
        <w:tabs>
          <w:tab w:val="left" w:pos="628"/>
        </w:tabs>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w:t>
      </w:r>
    </w:p>
    <w:p>
      <w:pPr>
        <w:tabs>
          <w:tab w:val="left" w:pos="628"/>
        </w:tabs>
        <w:ind w:firstLine="560" w:firstLineChars="20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6月中旬开始，北京大中型艺术品拍卖公司相继举槌开始2018年艺术品春季拍卖。北京荣宝本次在京城拍企中，属于开槌较早的那一拨。6月14日，北京荣宝2018春拍圆满收官，14个专场总成交额超过6.4亿元，成交率80%，北京荣宝本次春拍共产生了一个白手套专场—“景行维贤·启功作品”专场。本期春拍巡礼栏目，关注了北京荣宝的“古蕴遗珍·茶器专场”茶器拍卖情况。之所以关注这一专场拍卖原因有二。其一，近年来在拍场上，买家出手越来越慎重，多挑选自己喜欢且适用的器物入手，茶器便是其中之一；其二，北京荣宝2017秋拍首次将“茶”字放在专场名中出现，本次春拍是第二次设置此专场，看看这类拍品本季市场表现如何。</w:t>
      </w:r>
    </w:p>
    <w:p>
      <w:pPr>
        <w:tabs>
          <w:tab w:val="left" w:pos="628"/>
        </w:tabs>
        <w:ind w:firstLine="560" w:firstLineChars="20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2018春拍北京荣宝“古蕴遗珍·茶器专场”成交额409.1万元，成交率68.42%，另外在集珍·古董文玩专场中也有几件茶具拍卖，一并关注。去年秋拍，北京荣宝将茶具和古代瓷器放在一起，即：“古代瓷器及茶具专场”，成交额1693.1万元，成交率76.66%。相比于去年，此次荣宝做出了更加大胆的尝试，将茶器单独挑选出来做专场拍卖，而且成交情况还不错。</w:t>
      </w:r>
    </w:p>
    <w:p>
      <w:pPr>
        <w:tabs>
          <w:tab w:val="left" w:pos="628"/>
        </w:tabs>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w:t>
      </w:r>
    </w:p>
    <w:p>
      <w:pPr>
        <w:tabs>
          <w:tab w:val="left" w:pos="628"/>
        </w:tabs>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无底价拍品 竞价激烈</w:t>
      </w:r>
    </w:p>
    <w:p>
      <w:pPr>
        <w:tabs>
          <w:tab w:val="left" w:pos="628"/>
        </w:tabs>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w:t>
      </w:r>
    </w:p>
    <w:p>
      <w:pPr>
        <w:tabs>
          <w:tab w:val="left" w:pos="628"/>
        </w:tabs>
        <w:ind w:firstLine="560" w:firstLineChars="20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记者从北京几家拍卖公司本次春拍现场竞买情况看，除书画外，买家对那些无底价拍品，特别是比较实用的如金银首饰、茶叶、紫砂壶等拍品竞买热情比较高。从北京荣宝茶器拍卖现场看，买家对标有底价的拍品竞买热情并不高，通常拍卖师只能在起拍价基础上加几口价便落槌，少有买家激烈竞价的情况出现。</w:t>
      </w:r>
    </w:p>
    <w:p>
      <w:pPr>
        <w:tabs>
          <w:tab w:val="left" w:pos="628"/>
        </w:tabs>
        <w:ind w:firstLine="560" w:firstLineChars="20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拿北京荣宝茶器专场来说，3230号拍品“明 白釉双鱼汶洗”，这件无底价拍卖品从1000元起拍，当拍卖师喊出1000元起拍，买家有应价的么？场内出现了少有的众人同时举牌出价的情况。此时，拍卖师迅速报出2000、3000、4000、5000、6000、7000、8000......这件作品最终经过40余次加价，最终持有1022号牌的买家以18万的落槌价竞得，它也是本专场拍卖中应价轮次最多的拍品。</w:t>
      </w:r>
    </w:p>
    <w:p>
      <w:pPr>
        <w:tabs>
          <w:tab w:val="left" w:pos="628"/>
        </w:tabs>
        <w:ind w:firstLine="560" w:firstLineChars="20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除茶器拍卖外，记者还关注了古董文玩专场中的几件茶器拍卖。如：3773号 清 一支湘妃香筒、一支湘妃茶扇、3774号 清 两柄香妃扇骨、3776号 竹编大漆茶篓 、3778号 民国 竹编茶篓 金蟾茶宠、3781号 民国 锡罐银托茶具，这5件拍品皆为无底价拍品，均以起拍价1000元落槌。3764号拍品 日本昭和时期 朱泥茶具一套七件、3765 昭和时期 抹茶器 （一套七件）以无底价的1000元起拍，分别以5000元和3000元落槌。</w:t>
      </w:r>
    </w:p>
    <w:p>
      <w:pPr>
        <w:tabs>
          <w:tab w:val="left" w:pos="628"/>
        </w:tabs>
        <w:ind w:firstLine="560" w:firstLineChars="20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现场有起拍价的3766号 琢斋造荷蛙图茶托（五只）起拍价5000元；3782号 民国 香妃竹茶箱，起拍价5万元；3783号民国 香妃竹茶台，起拍价1万，这三件拍品均流拍，其原因可能是买家对拍品本身不感兴趣，也可能是起拍价过高超出买家的心里价位。</w:t>
      </w:r>
    </w:p>
    <w:p>
      <w:pPr>
        <w:tabs>
          <w:tab w:val="left" w:pos="628"/>
        </w:tabs>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w:t>
      </w:r>
    </w:p>
    <w:p>
      <w:pPr>
        <w:tabs>
          <w:tab w:val="left" w:pos="628"/>
        </w:tabs>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再次上拍 受认可度并不高</w:t>
      </w:r>
    </w:p>
    <w:p>
      <w:pPr>
        <w:tabs>
          <w:tab w:val="left" w:pos="628"/>
        </w:tabs>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w:t>
      </w:r>
    </w:p>
    <w:p>
      <w:pPr>
        <w:tabs>
          <w:tab w:val="left" w:pos="628"/>
        </w:tabs>
        <w:ind w:firstLine="560" w:firstLineChars="20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茶器专场拍品38件上拍，其中7件在全球知名拍企拍过。综合来看，这些名企拍过的拍品在本场拍卖中，要么流拍，要么即使成交，成交价格和当初购买时的市场价格略微上涨，但涨幅并不明显。总的来看，这类拍品成交情况并不理想。具体如：3207号 明代青釉小盏，此盏为2016年香港佳士得春拍中上拍的68号拍品，起拍价15万元，本次流拍；3211号 明代青釉莲瓣纹盘，也曾于香港佳士得2016年4月5日上拍，当时以12.5万港币成交，本次以起拍价10万元落槌，加上佣金以11.5万元成交，涨幅不大；3216号 明代青釉高足杯，藏家购于英国邦汉斯，本次拍卖以1万起拍，1万落槌；3228号 明代白釉划花小盘，在2016年4月5日香港佳士得拍卖时以50万港币成交，本次以45万起拍，48万落槌，加上15%的拍卖佣金，实际成交价55.2万元，略有上涨。</w:t>
      </w:r>
    </w:p>
    <w:p>
      <w:pPr>
        <w:tabs>
          <w:tab w:val="left" w:pos="628"/>
        </w:tabs>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w:t>
      </w:r>
    </w:p>
    <w:p>
      <w:pPr>
        <w:tabs>
          <w:tab w:val="left" w:pos="628"/>
        </w:tabs>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拍卖现场 学无止境</w:t>
      </w:r>
    </w:p>
    <w:p>
      <w:pPr>
        <w:tabs>
          <w:tab w:val="left" w:pos="628"/>
        </w:tabs>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w:t>
      </w:r>
    </w:p>
    <w:p>
      <w:pPr>
        <w:tabs>
          <w:tab w:val="left" w:pos="628"/>
        </w:tabs>
        <w:ind w:firstLine="560" w:firstLineChars="20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在北京荣宝拍卖现场，记者看到拍场中有一部分人，他们并没有在拍卖会开始前选定要出手哪件拍品。这些人也是拍场的常客，手持竞买号牌。认真记录每件拍品的成交情况。可能是北京荣宝在北京同类拍企中拍卖较早，其他公司没有拍卖会，因此大家并不急于赶场。他们说，今天主要是来看看今年的行情。当有人竞买到拍品时，这些人会时不时的评论上几句，“这件东西好”、“这个东西买得值”，这件现在市场上大概能卖多少多少钱，一听就是行家啊！如此专业还到拍场来学习，佩服！</w:t>
      </w:r>
    </w:p>
    <w:p>
      <w:pPr>
        <w:tabs>
          <w:tab w:val="left" w:pos="628"/>
        </w:tabs>
        <w:ind w:firstLine="560" w:firstLineChars="20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现场还有一些买家，在竞得如意拍品后，对这一专场接下来竞拍的拍品并没有竞买计划，也会坐下来观看，了解相关拍品拍卖情况。中国有句古话“知己知彼，百战不殆”，拍场如战场，只有了解了市场才能让自己在市场竞争中掌握主动。藏家对市场研究的认真态度值得我们学习。</w:t>
      </w:r>
    </w:p>
    <w:p>
      <w:pPr>
        <w:tabs>
          <w:tab w:val="left" w:pos="628"/>
        </w:tabs>
        <w:ind w:firstLine="560" w:firstLineChars="20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委托沟通有技巧 在拍卖中，竞买人除委托拍卖公司帮忙竞价外，有人会委托亲友、同事帮忙到现场竞拍。后两者，则需要委托人在拍卖现场与委托人电话沟通，出价。如果一个人既要竞买自己喜欢的拍品，又要顾着帮场外委托者竞价，恐怕就会比较忙乱了。在古董文玩专场就发生了这样的情况，一位买家在竞得自己中意的拍品后，与场外朋友电话沟通。电话一通，两人不免要寒暄几句，场内人汇报了自己喜得宝贝的情况，两人正说着呢，场外买家喜欢的山子、太湖石类拍品已经开拍，只听得场内买家一句“哎呀，落槌了！”。想必，电话那边也在为刚刚错过的拍品而感到遗憾吧。不过很快，这位拍场老手便调整好状态，不负朋友之托在此类拍品竞争到第4件的时候，终于拿下1件。后又成功拿下5件拍品，可谓收获颇丰。</w:t>
      </w:r>
    </w:p>
    <w:p>
      <w:pPr>
        <w:tabs>
          <w:tab w:val="left" w:pos="628"/>
        </w:tabs>
        <w:ind w:firstLine="560" w:firstLineChars="20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在此，提醒买家几句，在委托拍卖时一定要提前沟通好。请对方电话保持畅通。另外，那些平时聊天说话的内容，在此时劝您还是先省略的为好，因为在您与老友聊天的不知不觉间，也许您中意的拍品就已经落槌了。另外，在现场也看到一些比较老练的买家，他们在与委托者电话沟通时会迅速将场内信息传递给对方，如：现在有人出价50万......现在是我们的55万，60万别人的，我们还要加价么......好，65万落槌，我们的。这样的电话沟通，把拍卖现场的信息传达得简明扼要，做到有效沟通。</w:t>
      </w:r>
    </w:p>
    <w:p>
      <w:pPr>
        <w:tabs>
          <w:tab w:val="left" w:pos="628"/>
        </w:tabs>
        <w:jc w:val="left"/>
        <w:rPr>
          <w:rFonts w:hint="eastAsia" w:ascii="仿宋" w:hAnsi="仿宋" w:eastAsia="仿宋" w:cs="仿宋"/>
          <w:sz w:val="28"/>
          <w:szCs w:val="28"/>
          <w:lang w:val="en-US" w:eastAsia="zh-CN"/>
        </w:rPr>
      </w:pPr>
    </w:p>
    <w:p>
      <w:pPr>
        <w:rPr>
          <w:rFonts w:hint="eastAsia" w:ascii="仿宋" w:hAnsi="仿宋" w:eastAsia="仿宋" w:cs="仿宋"/>
          <w:kern w:val="2"/>
          <w:sz w:val="28"/>
          <w:szCs w:val="28"/>
          <w:lang w:val="en-US" w:eastAsia="zh-CN" w:bidi="ar-SA"/>
        </w:rPr>
      </w:pPr>
    </w:p>
    <w:p>
      <w:pPr>
        <w:tabs>
          <w:tab w:val="left" w:pos="2908"/>
        </w:tabs>
        <w:ind w:firstLine="2160" w:firstLineChars="600"/>
        <w:jc w:val="left"/>
        <w:rPr>
          <w:rFonts w:hint="eastAsia" w:ascii="仿宋" w:hAnsi="仿宋" w:eastAsia="仿宋" w:cs="仿宋"/>
          <w:kern w:val="2"/>
          <w:sz w:val="36"/>
          <w:szCs w:val="36"/>
          <w:lang w:val="en-US" w:eastAsia="zh-CN" w:bidi="ar-SA"/>
        </w:rPr>
      </w:pPr>
      <w:r>
        <w:rPr>
          <w:rFonts w:hint="eastAsia" w:ascii="仿宋" w:hAnsi="仿宋" w:eastAsia="仿宋" w:cs="仿宋"/>
          <w:kern w:val="2"/>
          <w:sz w:val="36"/>
          <w:szCs w:val="36"/>
          <w:lang w:val="en-US" w:eastAsia="zh-CN" w:bidi="ar-SA"/>
        </w:rPr>
        <w:t>精准扶贫 拍卖大有可为</w:t>
      </w:r>
    </w:p>
    <w:p>
      <w:pPr>
        <w:rPr>
          <w:rFonts w:hint="eastAsia" w:ascii="仿宋" w:hAnsi="仿宋" w:eastAsia="仿宋" w:cs="仿宋"/>
          <w:color w:val="0D0D0D" w:themeColor="text1" w:themeTint="F2"/>
          <w:kern w:val="2"/>
          <w:sz w:val="36"/>
          <w:szCs w:val="36"/>
          <w:lang w:val="en-US" w:eastAsia="zh-CN" w:bidi="ar-SA"/>
          <w14:textFill>
            <w14:solidFill>
              <w14:schemeClr w14:val="tx1">
                <w14:lumMod w14:val="95000"/>
                <w14:lumOff w14:val="5000"/>
              </w14:schemeClr>
            </w14:solidFill>
          </w14:textFill>
        </w:rPr>
      </w:pP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本刊讯 2018年5月31日，“精准扶贫及知识产权专场拍卖会”作为第五届京交会重要组成部分在京落槌。本次拍卖在线上线下同步进行，买家既可以在网上出价也可以在拍卖现场举牌应价，总拍品113件，其中，精准扶贫类拍卖标的38件，知识产权类拍卖标的40件，整场拍卖会成交总额达3.54亿元。精准扶贫板块38件拍卖标的百分之百成交，成交额超过3.1亿元，占本场拍卖会成交总额的87.57%。</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本场拍卖会拍品包括新疆和田大枣、薄皮核桃，内蒙古赤峰绿豆、小米，安徽霍邱猕猴桃等大宗农产品期货、现货。此次新疆参与拍卖的产品由和田两家有资质的规范化企业经过标准加工后进入北京市场。</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精准扶贫板块的首件拍品是内蒙古赤峰1万吨绿豆期货，起拍价6800万，最终以7600万元成交；来自新疆和田的优质薄皮核桃200吨期货400万元起拍，最终以620万元落槌成交；贵州黔南地区的6250吨罗甸红心火龙果经过多轮竞价后最终以1亿元的高价成交。记者从北京市商务委员会了解到，此次新疆和田拍卖的拍品来源涉及当地9个贫困村，将为8287人的贫困人口实现平均增收1000元左右。</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 </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精准扶贫 拍卖在行动</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 </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据悉，这是“拍卖”活动第二次走进京交会。拍卖第一次走进京交会是在2017年。在去年的京交会上共拍卖35件国际影视文化播映权等知识产权拍品，成交31件，成交额达3.3亿元人民币，并开展了知识产权融资对接洽谈活动，促成了飞机融资租赁项目落户北京天竺综保区初步合作意向。</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拍卖两进京交会，成交总额达6.84亿元，这个数字虽然在京交会整个大盘中仅仅是一小部分，但它在精准扶贫、知识产权交易中的带动示范作用不可忽略。尤其是本次精准扶贫拍卖，仅新疆一地，就为当地近万名贫困人口平均增收1000元，惠及范围广。</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北京市商务委员会主任闫立刚表示，今年把多个贫困地区的大宗农产品引入拍卖活动是一种尝试和探索，相信借助京交会这一国家级服务平台，在对贫困户农产品进行推广展示的同时，也可以以拍卖这样的新型交易方式打开贫困地区农产品在首都市场上的销路，精准助力贫困地区的脱贫工作。</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 </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互联网拍卖+精准扶贫 蛋糕大</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 </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6月20日上午，北京市召开“互联网+精准扶贫”推进会。京东、阿里、百度、新浪等100多家互联网企业发出参与精准扶贫的倡议。“我们倡议：积极支持贫困地区网络建设，做精准信息技术扶贫的提供者；积极推动农村电商扶贫行动，做精准特色产业扶贫的践行者……”这些电商企业将利用自身的优势，积极参与精准扶贫。据北京市扶贫协作和支援合作办工作人员介绍，目前，北京市扶贫协作地区有西藏拉萨、青海玉树、新疆和田、河北张承保、内蒙古等5省区72个县级地区的134万贫困人口，扶贫任务艰巨。</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0D0D0D" w:themeColor="text1" w:themeTint="F2"/>
          <w:spacing w:val="0"/>
          <w:sz w:val="28"/>
          <w:szCs w:val="28"/>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sz w:val="28"/>
          <w:szCs w:val="28"/>
          <w:shd w:val="clear" w:fill="FFFFFF"/>
          <w14:textFill>
            <w14:solidFill>
              <w14:schemeClr w14:val="tx1">
                <w14:lumMod w14:val="95000"/>
                <w14:lumOff w14:val="5000"/>
              </w14:schemeClr>
            </w14:solidFill>
          </w14:textFill>
        </w:rPr>
        <w:t>精准扶贫工作是全国上下一起行动的大事。仅北京一地对口扶持的贫困人口就有134万之多，那么在全国范围内，有多少贫困人口需要帮扶，有多少农副产品、资源需要交易销售呢，这块蛋糕很大。拍卖行业应以精准扶贫为抓手，深入工作掌握更多拍卖资源，依靠互联网技术攻克精准扶贫各困难环节，将拍卖与各地类似京交会这样当地的大型商贸交易活动相结合，做好拍卖，服务更多困难群体，为精准扶贫献出一份力。</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757C81"/>
          <w:spacing w:val="0"/>
          <w:sz w:val="28"/>
          <w:szCs w:val="28"/>
        </w:rPr>
      </w:pPr>
      <w:r>
        <w:rPr>
          <w:rFonts w:hint="eastAsia" w:ascii="仿宋" w:hAnsi="仿宋" w:eastAsia="仿宋" w:cs="仿宋"/>
          <w:b w:val="0"/>
          <w:i w:val="0"/>
          <w:caps w:val="0"/>
          <w:color w:val="757C81"/>
          <w:spacing w:val="0"/>
          <w:sz w:val="28"/>
          <w:szCs w:val="28"/>
          <w:shd w:val="clear" w:fill="FFFFFF"/>
        </w:rPr>
        <w:t> </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勇于创新 探索拍卖新方式</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 </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本场拍卖会拍卖师周培培在接受本刊记者采访时说，精准扶贫是习总书记提出的新时代中国特色社会主义思想的重要组成部分，今年很多政府项目及慈善拍卖会都响应国家号召，这次京交会精准扶贫专场就是在北京市商委的主办以及很多单位包括中拍协的支持下，开展的拍卖活动。精准扶贫专场是大宗农产品拍卖，以往大宗农产品都是在网络上进行交易，这次网络与现场同步进行拍卖，应算是国内首例，而且专场全部成交，又是农产品拍卖的首场白手套吧。其实这是很有意思的一个新领域，结合拍卖，来体现相互的优势作用。</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在接受采访过程中，周培培还提到本产拍卖会中的知识产权拍卖。她说，这是近年国家提倡科技成果转化、市场化的又一次尝试，这个专场是有声广播剧的50年版权拍卖，涉及版权金融，所以根据行业特性及投资需求，会议沟通过程中，她提议并采用了“荷兰式拍卖”也就是所谓的降价式拍卖，这样的目的是在保证投资者进行版权竞拍的投资回报基础上，来促使成交。中外艺术臻品专场，主要涉及国内工艺美术大师的雕塑传承作品及19世纪欧洲油画等，也是京交会呈现的国内外比较难得的艺术品。</w:t>
      </w:r>
    </w:p>
    <w:p>
      <w:pPr>
        <w:keepNext w:val="0"/>
        <w:keepLines w:val="0"/>
        <w:widowControl/>
        <w:suppressLineNumbers w:val="0"/>
        <w:shd w:val="clear" w:fill="FFFFFF"/>
        <w:spacing w:before="0" w:beforeAutospacing="0" w:after="300" w:afterAutospacing="0" w:line="450" w:lineRule="atLeast"/>
        <w:ind w:left="0" w:right="0" w:firstLine="420"/>
        <w:jc w:val="left"/>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kern w:val="0"/>
          <w:sz w:val="28"/>
          <w:szCs w:val="28"/>
          <w:shd w:val="clear" w:fill="FFFFFF"/>
          <w:lang w:val="en-US" w:eastAsia="zh-CN" w:bidi="ar"/>
        </w:rPr>
        <w:t>拍卖已两次进入京交会，并不断给人们来惊喜，无论是拍卖形式还是拍品内容，都在不断创新。精准扶贫类农产品拍卖、农产品期货拍卖、知识产权融资对接洽谈活动、荷兰式拍卖与知识产权交易对接，等等，将拍卖的半径不断延展，服务领域不断扩展、服务样式不断创新。相信，随着科技的进步，市场的发展，拍卖将不断与时俱进，在京交会中不断探索新的服务方式，为客户提供更多更好的服务，同时探索新的服务项目，为拍卖做大做强打好坚实的基础。</w:t>
      </w:r>
    </w:p>
    <w:p>
      <w:pPr>
        <w:ind w:firstLine="298" w:firstLineChars="0"/>
        <w:jc w:val="left"/>
        <w:rPr>
          <w:rFonts w:hint="eastAsia"/>
          <w:lang w:val="en-US" w:eastAsia="zh-CN"/>
        </w:rPr>
      </w:pPr>
    </w:p>
    <w:p>
      <w:pPr>
        <w:tabs>
          <w:tab w:val="left" w:pos="6778"/>
        </w:tabs>
        <w:ind w:firstLine="4480" w:firstLineChars="1600"/>
        <w:jc w:val="left"/>
        <w:rPr>
          <w:rFonts w:hint="eastAsia" w:ascii="仿宋" w:hAnsi="仿宋" w:eastAsia="仿宋" w:cs="仿宋"/>
          <w:b w:val="0"/>
          <w:i w:val="0"/>
          <w:caps w:val="0"/>
          <w:color w:val="333333"/>
          <w:spacing w:val="0"/>
          <w:sz w:val="28"/>
          <w:szCs w:val="28"/>
          <w:shd w:val="clear" w:fill="FFFFFF"/>
        </w:rPr>
      </w:pPr>
      <w:r>
        <w:rPr>
          <w:rFonts w:hint="eastAsia" w:ascii="仿宋" w:hAnsi="仿宋" w:eastAsia="仿宋" w:cs="仿宋"/>
          <w:b w:val="0"/>
          <w:i w:val="0"/>
          <w:caps w:val="0"/>
          <w:color w:val="333333"/>
          <w:spacing w:val="0"/>
          <w:sz w:val="28"/>
          <w:szCs w:val="28"/>
          <w:shd w:val="clear" w:fill="FFFFFF"/>
        </w:rPr>
        <w:t>-来源：《中国拍卖》</w:t>
      </w:r>
    </w:p>
    <w:p>
      <w:pPr>
        <w:rPr>
          <w:rFonts w:hint="eastAsia" w:ascii="Helvetica" w:hAnsi="Helvetica" w:eastAsia="Helvetica" w:cs="Helvetica"/>
          <w:b w:val="0"/>
          <w:i w:val="0"/>
          <w:caps w:val="0"/>
          <w:color w:val="333333"/>
          <w:spacing w:val="0"/>
          <w:kern w:val="2"/>
          <w:sz w:val="21"/>
          <w:szCs w:val="21"/>
          <w:lang w:val="en-US" w:eastAsia="zh-CN" w:bidi="ar-SA"/>
        </w:rPr>
      </w:pPr>
    </w:p>
    <w:p>
      <w:pPr>
        <w:rPr>
          <w:rFonts w:hint="eastAsia" w:ascii="Helvetica" w:hAnsi="Helvetica" w:eastAsia="Helvetica" w:cs="Helvetica"/>
          <w:b w:val="0"/>
          <w:i w:val="0"/>
          <w:caps w:val="0"/>
          <w:color w:val="333333"/>
          <w:spacing w:val="0"/>
          <w:kern w:val="2"/>
          <w:sz w:val="21"/>
          <w:szCs w:val="21"/>
          <w:lang w:val="en-US" w:eastAsia="zh-CN" w:bidi="ar-SA"/>
        </w:rPr>
      </w:pPr>
    </w:p>
    <w:p>
      <w:pPr>
        <w:rPr>
          <w:rFonts w:hint="eastAsia" w:ascii="Helvetica" w:hAnsi="Helvetica" w:eastAsia="Helvetica" w:cs="Helvetica"/>
          <w:b w:val="0"/>
          <w:i w:val="0"/>
          <w:caps w:val="0"/>
          <w:color w:val="333333"/>
          <w:spacing w:val="0"/>
          <w:kern w:val="2"/>
          <w:sz w:val="21"/>
          <w:szCs w:val="21"/>
          <w:lang w:val="en-US" w:eastAsia="zh-CN" w:bidi="ar-SA"/>
        </w:rPr>
      </w:pPr>
    </w:p>
    <w:p>
      <w:pPr>
        <w:rPr>
          <w:rFonts w:hint="eastAsia" w:ascii="Helvetica" w:hAnsi="Helvetica" w:eastAsia="Helvetica" w:cs="Helvetica"/>
          <w:b w:val="0"/>
          <w:i w:val="0"/>
          <w:caps w:val="0"/>
          <w:color w:val="333333"/>
          <w:spacing w:val="0"/>
          <w:kern w:val="2"/>
          <w:sz w:val="21"/>
          <w:szCs w:val="21"/>
          <w:lang w:val="en-US" w:eastAsia="zh-CN" w:bidi="ar-SA"/>
        </w:rPr>
      </w:pPr>
    </w:p>
    <w:p>
      <w:pPr>
        <w:spacing w:line="460" w:lineRule="exact"/>
        <w:rPr>
          <w:rFonts w:ascii="仿宋" w:hAnsi="仿宋" w:eastAsia="仿宋" w:cs="仿宋_GB2312"/>
          <w:b/>
          <w:bCs/>
          <w:sz w:val="44"/>
          <w:szCs w:val="44"/>
          <w:bdr w:val="single" w:color="auto" w:sz="4" w:space="0"/>
        </w:rPr>
      </w:pPr>
      <w:r>
        <w:rPr>
          <w:rFonts w:hint="eastAsia" w:ascii="仿宋" w:hAnsi="仿宋" w:eastAsia="仿宋" w:cs="仿宋_GB2312"/>
          <w:b/>
          <w:bCs/>
          <w:sz w:val="44"/>
          <w:szCs w:val="44"/>
          <w:bdr w:val="single" w:color="auto" w:sz="4" w:space="0"/>
          <w:lang w:val="en-US" w:eastAsia="zh-CN"/>
        </w:rPr>
        <w:t>拍企营销</w:t>
      </w:r>
    </w:p>
    <w:p>
      <w:pPr>
        <w:ind w:firstLine="313" w:firstLineChars="0"/>
        <w:jc w:val="left"/>
        <w:rPr>
          <w:rFonts w:hint="eastAsia"/>
          <w:lang w:val="en-US" w:eastAsia="zh-CN"/>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tabs>
          <w:tab w:val="left" w:pos="2683"/>
        </w:tabs>
        <w:ind w:firstLine="1800" w:firstLineChars="500"/>
        <w:jc w:val="left"/>
        <w:rPr>
          <w:rFonts w:hint="eastAsia" w:ascii="仿宋" w:hAnsi="仿宋" w:eastAsia="仿宋" w:cs="仿宋"/>
          <w:kern w:val="2"/>
          <w:sz w:val="36"/>
          <w:szCs w:val="36"/>
          <w:lang w:val="en-US" w:eastAsia="zh-CN" w:bidi="ar-SA"/>
        </w:rPr>
      </w:pPr>
      <w:r>
        <w:rPr>
          <w:rFonts w:hint="eastAsia" w:ascii="仿宋" w:hAnsi="仿宋" w:eastAsia="仿宋" w:cs="仿宋"/>
          <w:kern w:val="2"/>
          <w:sz w:val="36"/>
          <w:szCs w:val="36"/>
          <w:lang w:val="en-US" w:eastAsia="zh-CN" w:bidi="ar-SA"/>
        </w:rPr>
        <w:t>深耕保险全损车拍卖细分市场</w:t>
      </w:r>
    </w:p>
    <w:p>
      <w:pPr>
        <w:rPr>
          <w:rFonts w:hint="eastAsia" w:ascii="仿宋" w:hAnsi="仿宋" w:eastAsia="仿宋" w:cs="仿宋"/>
          <w:kern w:val="2"/>
          <w:sz w:val="36"/>
          <w:szCs w:val="36"/>
          <w:lang w:val="en-US" w:eastAsia="zh-CN" w:bidi="ar-SA"/>
        </w:rPr>
      </w:pPr>
    </w:p>
    <w:p>
      <w:pPr>
        <w:pStyle w:val="6"/>
        <w:keepNext w:val="0"/>
        <w:keepLines w:val="0"/>
        <w:widowControl/>
        <w:suppressLineNumbers w:val="0"/>
        <w:shd w:val="clear" w:fill="FFFFFF"/>
        <w:spacing w:before="0" w:beforeAutospacing="0" w:after="300" w:afterAutospacing="0" w:line="450" w:lineRule="atLeast"/>
        <w:ind w:right="0" w:firstLine="1400" w:firstLineChars="50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访北京丰顺路宝机动车拍卖有限公司CEO黄硕</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 </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北京丰顺路宝机动车拍卖有限公司自2011年成立，作为国内首家专业从事保险全损车拍卖的规范企业，丰顺路宝首创“网络竞拍”+“场地保全”、升级互联网服务，打造高效、便捷的保险全损车B2B拍卖平台，建立了一系列完善规范的专业化保险全损车拍卖体系。除为全国各大保险公司服务外，还为汽车主机厂、租凭公司、政府公务车改革、经销商集团等企业事业单位提供定制化车辆处置。今年新推出的“CRM会员管理系统”为5万会员带来全新的拍卖体验，提供更优质服务</w:t>
      </w:r>
    </w:p>
    <w:p>
      <w:pPr>
        <w:keepNext w:val="0"/>
        <w:keepLines w:val="0"/>
        <w:widowControl/>
        <w:suppressLineNumbers w:val="0"/>
        <w:shd w:val="clear" w:fill="FFFFFF"/>
        <w:spacing w:before="0" w:beforeAutospacing="0" w:after="300" w:afterAutospacing="0" w:line="450" w:lineRule="atLeast"/>
        <w:ind w:left="0" w:right="0" w:firstLine="420"/>
        <w:jc w:val="left"/>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kern w:val="0"/>
          <w:sz w:val="28"/>
          <w:szCs w:val="28"/>
          <w:shd w:val="clear" w:fill="FFFFFF"/>
          <w:lang w:val="en-US" w:eastAsia="zh-CN" w:bidi="ar"/>
        </w:rPr>
        <w:t> </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会员体验人性化拍车</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 </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2018年3月丰顺路宝推出了全新的会员管理体系，会员将通过严格的认证审核、全新的会员等级进行更加规范、智能化、个性化的管理，除了“二手车询价”、“积分兑换”、“节日关怀”等基础权益外，还设制了“健康体检”、“百公里送车”、“普级礼包”等增值权益，全面提升服务品质，从会员的切实需求出发，使会员享受到更加便捷、优越的人性化拍车服务。</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通过多年的经验积累，丰顺路宝从拍前合作委托方发起询残开始，经过报价、委托、入库、展示、到买受人竞拍后的结算、提车、过户等流程，形成了一整套完善的、规范化、专业化的保险全损车拍卖服务体系。</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 </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创新拍卖模式 打造高效便利服务平台</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 </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丰顺路宝自创立伊始，便以保险全损车辆拍卖处置及不断完善的相关业务流程为商业模式和企业核心竞争力。截止目前，丰顺路宝在全国已设立35家服务网点，建立超过10万平米的24小时车辆全封闭保全场地，具备了覆盖全国主要城市的服务能力。注册会员超过50000人，累计成交车辆超过100000台。</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2012年北京7.21特大暴雨水灾，丰顺路宝首创了大灾水淹车专场拍卖应急处置机制，全程积极参与救援，在短短的一个月内，集中拍卖处置了1000余台可修复水淹事故二手车辆，受到北京市政府及各大保险公司的高度认可，同时也坚定了丰顺路宝以“拍卖”模式处置保险可修复事故二手车的信心。</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2014年伴随着移动互联网的迅猛发展，丰顺路宝推出“网络竞拍”+“场地保全”的全新拍卖模式，打造高效、便利的全损车拍卖B2B网络拍卖服务平台。并逐步推出了拥有知识产权、自主研发设计的一系列IT产品：与委托方之间的电子化信息交互系统“推全管家”、移动端业务管理系统、会员服务系统，实现网络拍卖系统和移动端APP系统无缝连接。此举不仅进一步完善了上游用户从车辆评估委托、车辆检验到拍卖观察等各个服务环节，而且涵盖了下游用户从查勘车辆、线上竞拍到物流运输、车辆过户等全方位一站式专业服务。同时依托专业的IT技术团队，进一步巩固和深化了B2B服务平台的功能和应用，打破了现场拍卖的地域限制，成为保险全损车拍卖行业互联网运营模式的引领者。同年，丰顺路宝利用雄厚的资金优势，快速启动全国范围内的业务开拓，各省、直辖市（除西藏外）均建立了业务网点。</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合作保险公司处置突发事件</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 </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自成立以来丰顺路宝就与全国各大保险公司为主的客户建立了良好的合作关系，作为国内首家专注于保险全损车拍卖业务的企业，丰顺路宝致力于为保险公司提供最具时效和公正透明的拍卖服务。同时通过多年的数据积累，为保险公司提供系统技术服务。丰顺路宝通过自建服务体系，高效的沟通和反馈机制，得到了保险公司的一致认可，为保险公司提供询价、检测、拖车、保全、前置信息归集、结算、过户跟踪等一系列服务。</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目前已与人保、平安、太平洋、国寿等50余家保险公司建立了全国范围内的合作关系。累计拍卖推定全损车辆已超10万台，成交金额数十亿元。</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同时丰顺路宝建立了应对突发事件的快速处置机制，一旦发生自然灾害等重大突发事件，可以迅速从全国各地抽调有经验的员工，组织调集救援车辆在第一时间赶赴受灾现场帮助保险公司进行车辆救援。自2012年成功拍卖北京7.21重大水淹事故全损车以来，已多次协同各保险公司在受灾地进行救援处置，并成功拍卖因灾害事故而导致的全损车辆，如2016-2017年南京、广州、北京、大连、榆林、吉林、长沙等城市。截止目前，拍卖成功的水淹车辆近万台，为保险公司减损数亿元。</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 </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定制化车辆处置靠实力</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 </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丰顺路宝在聚焦保险全损车辆处置的同时，不断丰富完善业务范围，现可为汽车主机厂、租赁公司、金融公司、经销商集团等企事业单位提供定制化的车辆处置服务。</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近几年，中国二手车行业发展迅速，尤其是消费金融，融资租赁，新零售，直租等金融手段的强势介入，丰顺路宝借助其服务网点覆盖全国的有利条件，在服务各保险机构以外，也积极地参与到二手车业务的拓展中。</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合理快速地处置批量稳定的车源，成为各大主机厂、租赁公司、金融公司，经销商集团开展业务合作的前提，这正是丰顺路宝具备的优势实力。丰顺路宝在全国范围内有超过10万平方米的车辆保全场地，可以同时为独立或连锁的车辆机构提供保全服务，而丰顺路宝全国的一线员工具备专业的车辆检测与评估技能，可以为车辆机构提供及时专业的评估定价工作，同时拥有广大优质的会员，可以为车辆的快速处置形成保障。</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 </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每周千辆车源上网拍</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 </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目前丰顺路宝的拍卖会主要采取线上拍卖形式，会员登录丰顺路宝官网或APP就可以进行网络竞价拍卖。不受地域限制，随时随地一键竞拍。每场拍卖会详细的车辆信息都会在丰顺路宝的官网、APP及微信公众号上提前公示，车辆照片360度全景展示。同时会员也可以在全国各地的保全场地实地查勘车辆，丰顺路宝全国各地的分公司设置有专职客户经理，为异地拍车售后服务提供保障。丰顺路宝每周一至周五下午是保险全损车拍卖会专场，每周一、周四上午是二手车专场拍卖会，每周三上午设置有零配件拍卖会，每周可提供覆盖全国的上千辆车源，2017年全年举办了409场拍卖会。</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丰顺路宝拍卖系统不仅有严谨的拍卖流程全程把控，还有健全的法律文件监督维护。同时为委托方提供车辆信息观察平台，委托方可以实时查看车辆竟拍过程，保证上拍商品公开、公正、公平、透明的处理。竞买人经过充分竞价，最大化的维护双方的合法权益。</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 </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扩展业务举办公车拍卖</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 </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丰顺路宝是一家专业的保险全损车拍卖平台，同时，还利用自身平台优势为政府公务车改革等企事业单位提供定制化的车辆处置服务。近年来先后与北京、吉林、武汉、抚顺等政府部门合作，成功举办多场政府公车改革取消车辆拍卖会。积累了丰富的公车改革取消车拍卖组织举办经验，也充分展示了丰顺路宝高效快速的车辆拍卖处置能力。</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从2017年开始，通过充分的会员精准营销及前期宣传，良好的拍卖会现场组织，线下预展与线上竞价的新模式，已成功举办10余场公车拍卖会，成交率为100%，平均溢价率为71%。</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2017年10月15日举办的“吉林省直机关公务用车拍卖会”是丰顺路宝在吉林省地区举办的第五场“公务用车”拍卖会，本次拍卖会现场参拍人数350人，经过3个多小时的激烈竞拍，112台参拍“公务车”100%成交。全场拍卖成交总价930余万元。丰顺路宝以其专业标准化的拍卖机制、建全的服务管理体系获得众多省市政府部门的认可与青睐。</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 </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拍卖市场有待挖掘</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 </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在中国已经成为汽车产销第一大国的今天，乘用车存量市场规模虽与美国已经很接近，但在二手车交易，包括可修复事故车处理方面还存在巨大提升空间。</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在美国，可修复事故车拍卖的形式始于70年代，已经形成了成熟的产业链。随之产生的CoPart和IAAI两家龙头企业，服务范围覆盖全美，拥有几百个保全场地，每年拍卖成交车辆达几百万台。在中国，可修复事故二手车交易规模与之存在几十倍的差距，还有大量可修复事故车的价值没有被充分挖掘。</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sz w:val="28"/>
          <w:szCs w:val="28"/>
          <w:shd w:val="clear" w:fill="FFFFFF"/>
        </w:rPr>
        <w:t>随着车险保费费率市场化改革的推进，保险理赔精细化管理要求越来越高，保险公司需要在理赔环节中，更加注重通过高效、符合市场规律和经济价值的手段，通过专业互联网平台处置可修复事故车的需求会越来越强烈，可修复事故车拍卖行业发展空间巨大。</w:t>
      </w:r>
    </w:p>
    <w:p>
      <w:pPr>
        <w:keepNext w:val="0"/>
        <w:keepLines w:val="0"/>
        <w:widowControl/>
        <w:suppressLineNumbers w:val="0"/>
        <w:shd w:val="clear" w:fill="FFFFFF"/>
        <w:spacing w:before="0" w:beforeAutospacing="0" w:after="300" w:afterAutospacing="0" w:line="450" w:lineRule="atLeast"/>
        <w:ind w:left="0" w:right="0" w:firstLine="420"/>
        <w:jc w:val="left"/>
        <w:rPr>
          <w:rFonts w:hint="eastAsia" w:ascii="仿宋" w:hAnsi="仿宋" w:eastAsia="仿宋" w:cs="仿宋"/>
          <w:b w:val="0"/>
          <w:i w:val="0"/>
          <w:caps w:val="0"/>
          <w:color w:val="181717" w:themeColor="background2" w:themeShade="1A"/>
          <w:spacing w:val="0"/>
          <w:sz w:val="28"/>
          <w:szCs w:val="28"/>
        </w:rPr>
      </w:pPr>
      <w:r>
        <w:rPr>
          <w:rFonts w:hint="eastAsia" w:ascii="仿宋" w:hAnsi="仿宋" w:eastAsia="仿宋" w:cs="仿宋"/>
          <w:b w:val="0"/>
          <w:i w:val="0"/>
          <w:caps w:val="0"/>
          <w:color w:val="181717" w:themeColor="background2" w:themeShade="1A"/>
          <w:spacing w:val="0"/>
          <w:kern w:val="0"/>
          <w:sz w:val="28"/>
          <w:szCs w:val="28"/>
          <w:shd w:val="clear" w:fill="FFFFFF"/>
          <w:lang w:val="en-US" w:eastAsia="zh-CN" w:bidi="ar"/>
        </w:rPr>
        <w:t>可修复事故车本身有很大价值可以挖掘，比如在车辆修复、可拆解零部件的再流通等方面，将会创造巨大的市场机会，要走的路显然还很长，还需要相关政府部门、协会组织和企业的共同推动和进一步规范。</w:t>
      </w:r>
    </w:p>
    <w:p>
      <w:pPr>
        <w:tabs>
          <w:tab w:val="left" w:pos="6553"/>
        </w:tabs>
        <w:ind w:firstLine="463" w:firstLineChars="0"/>
        <w:jc w:val="left"/>
        <w:rPr>
          <w:rFonts w:ascii="Helvetica" w:hAnsi="Helvetica" w:eastAsia="Helvetica" w:cs="Helvetica"/>
          <w:b w:val="0"/>
          <w:i w:val="0"/>
          <w:caps w:val="0"/>
          <w:color w:val="333333"/>
          <w:spacing w:val="0"/>
          <w:sz w:val="21"/>
          <w:szCs w:val="21"/>
          <w:shd w:val="clear" w:fill="FFFFFF"/>
        </w:rPr>
      </w:pPr>
      <w:r>
        <w:rPr>
          <w:rFonts w:hint="eastAsia" w:ascii="仿宋" w:hAnsi="仿宋" w:eastAsia="仿宋" w:cs="仿宋"/>
          <w:color w:val="181717" w:themeColor="background2" w:themeShade="1A"/>
          <w:sz w:val="28"/>
          <w:szCs w:val="28"/>
          <w:lang w:val="en-US" w:eastAsia="zh-CN"/>
        </w:rPr>
        <w:tab/>
      </w:r>
      <w:r>
        <w:rPr>
          <w:rFonts w:ascii="Helvetica" w:hAnsi="Helvetica" w:eastAsia="Helvetica" w:cs="Helvetica"/>
          <w:b w:val="0"/>
          <w:i w:val="0"/>
          <w:caps w:val="0"/>
          <w:color w:val="333333"/>
          <w:spacing w:val="0"/>
          <w:sz w:val="21"/>
          <w:szCs w:val="21"/>
          <w:shd w:val="clear" w:fill="FFFFFF"/>
        </w:rPr>
        <w:t>--来源：《中国拍卖》</w:t>
      </w:r>
    </w:p>
    <w:p>
      <w:pPr>
        <w:rPr>
          <w:rFonts w:hint="eastAsia" w:ascii="Helvetica" w:hAnsi="Helvetica" w:eastAsia="Helvetica" w:cs="Helvetica"/>
          <w:b w:val="0"/>
          <w:i w:val="0"/>
          <w:caps w:val="0"/>
          <w:color w:val="333333"/>
          <w:spacing w:val="0"/>
          <w:kern w:val="2"/>
          <w:sz w:val="21"/>
          <w:szCs w:val="21"/>
          <w:lang w:val="en-US" w:eastAsia="zh-CN" w:bidi="ar-SA"/>
        </w:rPr>
      </w:pPr>
    </w:p>
    <w:p>
      <w:pPr>
        <w:spacing w:line="460" w:lineRule="exact"/>
        <w:rPr>
          <w:rFonts w:hint="eastAsia" w:ascii="仿宋" w:hAnsi="仿宋" w:eastAsia="仿宋" w:cs="仿宋_GB2312"/>
          <w:b/>
          <w:bCs/>
          <w:sz w:val="44"/>
          <w:szCs w:val="44"/>
          <w:bdr w:val="single" w:color="auto" w:sz="4" w:space="0"/>
          <w:lang w:val="en-US" w:eastAsia="zh-CN"/>
        </w:rPr>
      </w:pPr>
      <w:bookmarkStart w:id="0" w:name="_Toc21055"/>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ascii="仿宋" w:hAnsi="仿宋" w:eastAsia="仿宋" w:cs="仿宋_GB2312"/>
          <w:b/>
          <w:bCs/>
          <w:sz w:val="44"/>
          <w:szCs w:val="44"/>
          <w:bdr w:val="single" w:color="auto" w:sz="4" w:space="0"/>
        </w:rPr>
      </w:pPr>
      <w:r>
        <w:rPr>
          <w:rFonts w:hint="eastAsia" w:ascii="仿宋" w:hAnsi="仿宋" w:eastAsia="仿宋" w:cs="仿宋_GB2312"/>
          <w:b/>
          <w:bCs/>
          <w:sz w:val="44"/>
          <w:szCs w:val="44"/>
          <w:bdr w:val="single" w:color="auto" w:sz="4" w:space="0"/>
          <w:lang w:val="en-US" w:eastAsia="zh-CN"/>
        </w:rPr>
        <w:t>收藏鉴赏</w:t>
      </w:r>
      <w:bookmarkEnd w:id="0"/>
    </w:p>
    <w:p>
      <w:pPr>
        <w:ind w:firstLine="208" w:firstLineChars="0"/>
        <w:jc w:val="left"/>
        <w:rPr>
          <w:rFonts w:hint="eastAsia"/>
          <w:lang w:val="en-US" w:eastAsia="zh-CN"/>
        </w:rPr>
      </w:pPr>
    </w:p>
    <w:p>
      <w:pPr>
        <w:ind w:firstLine="208" w:firstLineChars="0"/>
        <w:jc w:val="left"/>
        <w:rPr>
          <w:rFonts w:hint="eastAsia"/>
          <w:lang w:val="en-US" w:eastAsia="zh-CN"/>
        </w:rPr>
      </w:pPr>
    </w:p>
    <w:p>
      <w:pPr>
        <w:ind w:firstLine="208" w:firstLineChars="0"/>
        <w:jc w:val="left"/>
        <w:rPr>
          <w:rFonts w:hint="eastAsia"/>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00" w:beforeAutospacing="0" w:after="0" w:afterAutospacing="0" w:line="570" w:lineRule="atLeast"/>
        <w:ind w:left="0" w:right="0" w:firstLine="0"/>
        <w:rPr>
          <w:rFonts w:hint="eastAsia" w:ascii="仿宋" w:hAnsi="仿宋" w:eastAsia="仿宋" w:cs="仿宋"/>
          <w:b/>
          <w:i w:val="0"/>
          <w:caps w:val="0"/>
          <w:color w:val="333333"/>
          <w:spacing w:val="0"/>
          <w:sz w:val="36"/>
          <w:szCs w:val="36"/>
        </w:rPr>
      </w:pPr>
      <w:r>
        <w:rPr>
          <w:rFonts w:hint="eastAsia" w:ascii="仿宋" w:hAnsi="仿宋" w:eastAsia="仿宋" w:cs="仿宋"/>
          <w:sz w:val="36"/>
          <w:szCs w:val="36"/>
          <w:lang w:val="en-US" w:eastAsia="zh-CN"/>
        </w:rPr>
        <w:tab/>
      </w:r>
      <w:r>
        <w:rPr>
          <w:rFonts w:hint="eastAsia" w:ascii="仿宋" w:hAnsi="仿宋" w:eastAsia="仿宋" w:cs="仿宋"/>
          <w:sz w:val="36"/>
          <w:szCs w:val="36"/>
          <w:lang w:val="en-US" w:eastAsia="zh-CN"/>
        </w:rPr>
        <w:t xml:space="preserve">       </w:t>
      </w:r>
      <w:r>
        <w:rPr>
          <w:rFonts w:hint="eastAsia" w:ascii="仿宋" w:hAnsi="仿宋" w:eastAsia="仿宋" w:cs="仿宋"/>
          <w:b/>
          <w:i w:val="0"/>
          <w:caps w:val="0"/>
          <w:color w:val="333333"/>
          <w:spacing w:val="0"/>
          <w:sz w:val="36"/>
          <w:szCs w:val="36"/>
          <w:shd w:val="clear" w:fill="FFFFFF"/>
        </w:rPr>
        <w:t>明清家具拍场走出低迷靠什么</w:t>
      </w:r>
    </w:p>
    <w:p>
      <w:pPr>
        <w:tabs>
          <w:tab w:val="left" w:pos="2713"/>
        </w:tabs>
        <w:ind w:firstLine="208" w:firstLineChars="0"/>
        <w:jc w:val="left"/>
        <w:rPr>
          <w:rFonts w:hint="eastAsia"/>
          <w:lang w:val="en-US" w:eastAsia="zh-CN"/>
        </w:rPr>
      </w:pPr>
    </w:p>
    <w:p>
      <w:pPr>
        <w:ind w:firstLine="208" w:firstLineChars="0"/>
        <w:jc w:val="left"/>
        <w:rPr>
          <w:rFonts w:hint="eastAsia"/>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微软雅黑" w:hAnsi="微软雅黑" w:eastAsia="微软雅黑" w:cs="微软雅黑"/>
          <w:b w:val="0"/>
          <w:i w:val="0"/>
          <w:caps w:val="0"/>
          <w:color w:val="000000"/>
          <w:spacing w:val="0"/>
          <w:sz w:val="27"/>
          <w:szCs w:val="27"/>
          <w:shd w:val="clear" w:fill="FFFFFF"/>
        </w:rPr>
        <w:t>　</w:t>
      </w:r>
      <w:r>
        <w:rPr>
          <w:rFonts w:hint="eastAsia" w:ascii="仿宋" w:hAnsi="仿宋" w:eastAsia="仿宋" w:cs="仿宋"/>
          <w:b w:val="0"/>
          <w:i w:val="0"/>
          <w:caps w:val="0"/>
          <w:color w:val="000000"/>
          <w:spacing w:val="0"/>
          <w:sz w:val="28"/>
          <w:szCs w:val="28"/>
          <w:shd w:val="clear" w:fill="FFFFFF"/>
        </w:rPr>
        <w:t>回望2012年至2017年的国内明清家具拍卖，不断深入的市场调整虽未让专场数量逐年萎缩——每年仍保持在30场左右，但拍场大趋势不仅深刻影响着明清家具的拍卖格局，更在推动此板块进入一个新时代。而此特点在2017年的秋拍表现得更为明显。</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香港嘉木堂即将重新开放的消息，在2018年1月1日晚间虽由其主人伍嘉恩仅在微信朋友圈低调宣布。但作为香港乃至国际知名的明式家具收藏及经营象征之一，嘉木堂此举无疑让明式家具乃至中国古典家具继2017年秋拍槌得佳绩之后，赋予2018年更多期望。</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w:t>
      </w:r>
      <w:r>
        <w:rPr>
          <w:rStyle w:val="8"/>
          <w:rFonts w:hint="eastAsia" w:ascii="仿宋" w:hAnsi="仿宋" w:eastAsia="仿宋" w:cs="仿宋"/>
          <w:b/>
          <w:i w:val="0"/>
          <w:caps w:val="0"/>
          <w:color w:val="000000"/>
          <w:spacing w:val="0"/>
          <w:sz w:val="28"/>
          <w:szCs w:val="28"/>
          <w:shd w:val="clear" w:fill="FFFFFF"/>
        </w:rPr>
        <w:t>市场调整孕育转折点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在2016年5月之前，香港“嘉木堂”宣布消息称：基于经营方面的重大决定，嘉木堂将不再对外开放。之后的5月14日，嘉木堂的主人伍嘉恩随即联手中国嘉德在春季拍卖会期间推出“嘉木万重光——明式家具集珍”专场，共呈现39件嘉木堂藏重要明式家具精品。最终，该专场斩获“白手套”佳绩，并实现总成交额4857.025万元；其中，一件“晚明黄花梨四出头龙纹官帽椅（成对）”以920万元成交，拔得本场头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一年多以后的香港苏富比</w:t>
      </w:r>
      <w:r>
        <w:rPr>
          <w:rFonts w:hint="eastAsia" w:ascii="仿宋" w:hAnsi="仿宋" w:eastAsia="仿宋" w:cs="仿宋"/>
          <w:b w:val="0"/>
          <w:i w:val="0"/>
          <w:caps w:val="0"/>
          <w:color w:val="2E8ED9"/>
          <w:spacing w:val="0"/>
          <w:sz w:val="28"/>
          <w:szCs w:val="28"/>
          <w:u w:val="none"/>
          <w:shd w:val="clear" w:fill="FFFFFF"/>
        </w:rPr>
        <w:fldChar w:fldCharType="begin"/>
      </w:r>
      <w:r>
        <w:rPr>
          <w:rFonts w:hint="eastAsia" w:ascii="仿宋" w:hAnsi="仿宋" w:eastAsia="仿宋" w:cs="仿宋"/>
          <w:b w:val="0"/>
          <w:i w:val="0"/>
          <w:caps w:val="0"/>
          <w:color w:val="2E8ED9"/>
          <w:spacing w:val="0"/>
          <w:sz w:val="28"/>
          <w:szCs w:val="28"/>
          <w:u w:val="none"/>
          <w:shd w:val="clear" w:fill="FFFFFF"/>
        </w:rPr>
        <w:instrText xml:space="preserve"> HYPERLINK "http://collection.sina.com.cn/auction/hqgc/2018-03-14/doc-ifyscsmv4916262.shtml?zw=collection" \t "http://collection.sina.com.cn/auction/hqgc/2018-03-14/_blank" </w:instrText>
      </w:r>
      <w:r>
        <w:rPr>
          <w:rFonts w:hint="eastAsia" w:ascii="仿宋" w:hAnsi="仿宋" w:eastAsia="仿宋" w:cs="仿宋"/>
          <w:b w:val="0"/>
          <w:i w:val="0"/>
          <w:caps w:val="0"/>
          <w:color w:val="2E8ED9"/>
          <w:spacing w:val="0"/>
          <w:sz w:val="28"/>
          <w:szCs w:val="28"/>
          <w:u w:val="none"/>
          <w:shd w:val="clear" w:fill="FFFFFF"/>
        </w:rPr>
        <w:fldChar w:fldCharType="separate"/>
      </w:r>
      <w:r>
        <w:rPr>
          <w:rStyle w:val="12"/>
          <w:rFonts w:hint="eastAsia" w:ascii="仿宋" w:hAnsi="仿宋" w:eastAsia="仿宋" w:cs="仿宋"/>
          <w:b w:val="0"/>
          <w:i w:val="0"/>
          <w:caps w:val="0"/>
          <w:color w:val="2E8ED9"/>
          <w:spacing w:val="0"/>
          <w:sz w:val="28"/>
          <w:szCs w:val="28"/>
          <w:u w:val="none"/>
          <w:shd w:val="clear" w:fill="FFFFFF"/>
        </w:rPr>
        <w:t>(微博)</w:t>
      </w:r>
      <w:r>
        <w:rPr>
          <w:rFonts w:hint="eastAsia" w:ascii="仿宋" w:hAnsi="仿宋" w:eastAsia="仿宋" w:cs="仿宋"/>
          <w:b w:val="0"/>
          <w:i w:val="0"/>
          <w:caps w:val="0"/>
          <w:color w:val="2E8ED9"/>
          <w:spacing w:val="0"/>
          <w:sz w:val="28"/>
          <w:szCs w:val="28"/>
          <w:u w:val="none"/>
          <w:shd w:val="clear" w:fill="FFFFFF"/>
        </w:rPr>
        <w:fldChar w:fldCharType="end"/>
      </w:r>
      <w:r>
        <w:rPr>
          <w:rFonts w:hint="eastAsia" w:ascii="仿宋" w:hAnsi="仿宋" w:eastAsia="仿宋" w:cs="仿宋"/>
          <w:b w:val="0"/>
          <w:i w:val="0"/>
          <w:caps w:val="0"/>
          <w:color w:val="000000"/>
          <w:spacing w:val="0"/>
          <w:sz w:val="28"/>
          <w:szCs w:val="28"/>
          <w:shd w:val="clear" w:fill="FFFFFF"/>
        </w:rPr>
        <w:t>2017年秋季拍卖会期间，嘉木堂及伍嘉恩重新出现在公众视野中，即9月29日至10月2日由香港苏富比在香港会展中心举办“木趣居——家具中的嘉具”展览。展出全球最顶级和最具代表性的明式家具100多件/套，涵盖大多明式家具的种类，当中有不少是从未露面的精品，也不乏传世孤品。</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虽然上述100多件/套明式家具展品未有一件出现在香港苏富比的秋拍现场，但此场展览表现出的全新收藏高度，及其释出的利好信号，不仅让国内外藏界为之一喜，也为明式家具在未来拍场能有更好表现铺垫了坚实的基础。</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自2012年开始的艺术品市场整体调整中，明清古董家具未能在拍场独善其身。据不完全统计，2014年的中国拍卖市场约有25家拍卖公司涉足中式家具板块——此中屈指可数的几家企业举槌当代中式家具；但在2015年，此项数据下降至18家，2016年是19家，2017年是20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另按场次不完全统计，近4年的中式家具拍卖基本保持在每年30场左右的水平，而能在此板块坚守春秋两季的企业除2015年只有三四家之外，2014年、2016年和2017年都保持在五六家的数量，其他拍卖公司在此则处于时有时无的不确定状态。</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再按每场拍品数量的增减来看，从2014年、2015年的每场普遍六七十件甚至更多，到2016年的四五十件，再到2017年的三四十件，逐年减量成为必然。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最后以成交价格来衡量，用苏富比中国瓷器及工艺品部资深专家李佳的话来说：“明式家具与书画、陶瓷、玉器不同，因其收藏历程并不长，价格体系正在积累之中。”所以，尽管古董明式家具，与商周青铜器、宋代瓷器被国内外学者一致视为中国传统艺术的3座高峰，是国内外藏家追逐的焦点，但其拍场行情远逊于青铜器和瓷器。正如伍嘉恩的感慨，近30年来，明式家具的市场价格上涨不少，“20世纪80年代，一件家具约为几万元、10多万元已经能够买到非常好的；而现在，好的明代黄花梨家具已经达几百万元高价。”但整体上还没达到其他文物动辄上千万元、上亿元的价格，“现在其发展处于一个转折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的确，进入2017年的明清古董家具拍卖市场，虽然仍在延续以往的调整态势，但不断深化的调整也让它的市场表现渐入佳境。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w:t>
      </w:r>
      <w:r>
        <w:rPr>
          <w:rStyle w:val="8"/>
          <w:rFonts w:hint="eastAsia" w:ascii="仿宋" w:hAnsi="仿宋" w:eastAsia="仿宋" w:cs="仿宋"/>
          <w:b/>
          <w:i w:val="0"/>
          <w:caps w:val="0"/>
          <w:color w:val="000000"/>
          <w:spacing w:val="0"/>
          <w:sz w:val="28"/>
          <w:szCs w:val="28"/>
          <w:shd w:val="clear" w:fill="FFFFFF"/>
        </w:rPr>
        <w:t>百万元成交价为市场基调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2017年伊始，北京翰海在1月8日举槌的翰海四季（第93期）拍卖会“玉石·家具·赏石”专场，推出65件清代及民国家具和44件近代家具，最终斩获成交率84%和90%的佳绩，如一件民国黄花梨雕云龙席面罗汉榻最终以57.5万元成交，拔得家具类拍品头筹；一件清紫檀宝座以23万元成交位居第二。然而，北京翰海在之后的两季大拍和四季小拍中未再涉足明清家具。</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回顾2017年的国内明清家具拍卖市场不难发现，类似北京翰海“春强秋弱”的拍卖公司不少，而且百万元的最高成交价区间也成为明清古典家具最终表现出的市场“共性”。</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转眼至4月，由香港苏富比拉开2017春季拍卖会的序幕后，其于4月5日落槌的“轻巧袖珍宝：攻玉山房藏明式家具”专场，共计28件拍品最终实现成交额近2569万元，成交率达96.43%。其中，明末至清初黄花梨雕人物鎏金铜件官皮箱以543.51万元成交，摘得本场桂冠；第二高价拍品是以308.286万元成交的明末至清初黄花梨镶厚螺钿画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这不由得让人想起香港苏富比在2016年秋季拍卖会期间于10月5日落槌的“明式家具：轻巧袖珍宝”专场，及其在2015年秋拍期间于10月7日落槌的“攻玉山房藏明式家具”专场。前者共计22件拍品，最终斩获95.45%的成交率、近813万元总成交额的佳绩；后者共计38件拍品，最终实现“白手套”和2.1635亿元的总成交额。</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不难发现，香港苏富比在明清家具板块开设的特色品牌专场和名家收藏专场，效果理想；但家具专场的良好势头并未在其2017年秋拍中得到延续，此季仅有12件/套明清家具拍品被放在“中国艺术珍品”专场，且成交率不及50%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5月30日，中国嘉德在香港2017春季拍卖会期间分别落槌“洪氏藏明清古典家具集萃”和“观华——明清古典家具”两大专场。最终，“洪氏藏”专场的15件拍品实现总成交额近2948万元，成交率为86.7%，其中以625.335万元成交的明晚期至清康熙早期黄花梨圆角柜（成对）为本场最高成交价拍品；而“观华”专场推出的26件拍品仅实现成交率42.31%，总成交额近562.3万元，冠军拍品为一件来源为潘祖尧旧藏的清早期紫檀有束腰马蹄足方桌——成交价313.998万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此中，2012年至2016年数次出现的同名专场“观华”，并未亮相嘉德香港的2017年秋拍，而名为“哲匠斤墨——名家藏明式家具精品及雅玩”的专场在嘉德香港的2017秋拍中实现超3335.8万元的成交总额、70%的成交率。此中，一件名家收藏的明黄花梨无束腰马蹄腿独板围子罗汉床以2851.05万元的成交价夺魁。与“哲匠斤墨”同于10月2日落槌的“美材成器——新加坡鲁班庄藏明清古典家具精品”专场，共计32件拍品，最终实现成交率78.13%、总成交额3867.14万元的佳绩；其中一件清早期黄花梨夹头榫画案以1157.85万元成交，成为该专场“标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审视嘉德香港2017年在明清家具板块的表现便可窥见，如今的市场已趋于成熟，即使名家收藏专场也得看拍品质量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6月2日，向以中国书画闻名业界的北京荣宝，推出“集古·文芳陈设及家具专场”，其上拍的24件清代家具最终实现626.4万元的成交总额，55%的成交率；一件清早期黄花梨龙纹闷户厨以138万元成交为全场最高纪录。在此之后的秋拍中，北京荣宝也未再推出家具专场和拍品。</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w:t>
      </w:r>
      <w:r>
        <w:rPr>
          <w:rStyle w:val="8"/>
          <w:rFonts w:hint="eastAsia" w:ascii="仿宋" w:hAnsi="仿宋" w:eastAsia="仿宋" w:cs="仿宋"/>
          <w:b/>
          <w:i w:val="0"/>
          <w:caps w:val="0"/>
          <w:color w:val="000000"/>
          <w:spacing w:val="0"/>
          <w:sz w:val="28"/>
          <w:szCs w:val="28"/>
          <w:shd w:val="clear" w:fill="FFFFFF"/>
        </w:rPr>
        <w:t>名藏、著录拍品独领风骚</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尽管北京翰海、香港苏富比和北京荣宝在2017年的明清家具拍卖中表现出“春有秋无”的态势，但北京保利、北京东正、北京银座、中国嘉德、中贸圣佳则在春秋两季大拍中均设专场、重推名家旧藏或著录拍品，最终佳报频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2017年6月6日的北京保利十二周年春季拍卖会虽未设明清家具专场，为数不多的明清家具拍品也只是散落在几个综合性专场——这已成为北京保利近5年来在此板块的一大特点，但在当日落槌的“禹贡——敬勝怠者吉 古董珍玩之夜”专场、“御翫——明清宫廷文房珍藏”专场以及6月7日落槌的“宫廷艺术与重要瓷器、玉器、工艺品”中，分别有一件法国藏家旧藏的清乾隆紫檀框明黄色地双面缂丝仙山楼阁五扇屏风以529万元成交，一对由法国最负盛名的收藏家马斯-伊维尔伉俪旧藏的清康熙黑漆嵌百宝花鸟方柜以437万元成交，一件明红漆嵌掐丝珐琅香几以644万元成交，不仅斩获佳绩而且后二者还成为相应专场的最高成交价拍品。</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jc w:val="left"/>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相较于春拍，北京保利十二周年秋季拍卖会中的明清家具拍品数量更少，但成交颇为引人注目。于12月18日落槌的 “禹贡（二）——康熙御制黄花梨大四件柜 唐英督陶与大清的辉煌时刻”专场中，共计3件家具，成绩斐然。清康熙御制黄花梨鸾凤牡丹纹大顶箱柜（成对），最终以9890万元的价格成交，刷新明清家具的拍场成交记录——以凤纹为主题纹饰的黄花梨顶箱柜目前所知仅此一例，1956年至1983年北京龙顺成硬木家具厂旧藏及1983年至1996年李翰祥“清水山房”旧藏的传承有序，成为缔造新纪录的主因。本场另有美国西海岸贵族旧藏的清乾隆御制紫檀重檐庑殿顶三间式大佛龛最终以977.5万元成交，欧洲藏家旧藏的清乾隆黄花梨百宝嵌诗文十二扇屏最终以632.5万元成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与北京保利在明清家具拍卖板块的特点相近，北京东正也是将古典家具类拍品设置在综合专场中，但与以往不同，其在2017年的春秋两季大拍中是将此板块固定在“澈心——中国器具陈设与艺术专场”中。于6月8日落槌的“澈心”专场，共推出24件拍品，实现总成交额509.22万元，成交率近75%；于12月9日落槌的“澈心”专场，家具类拍品略缩至21件，最终实现总成交额322.915万元，成交率近80%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自2014年始，北京银座坚持在每年的春、秋两季大拍中开设“盛木为怀——中国明清古典家具及工艺品”专场，收获颇丰。于2017年6月7日落槌的“盛木为怀”专场，共计47件明清家具，最终实现的成交率超过60%，1312.84万元的总成交额，一件名家旧藏清紫檀雕西番莲镶鎏金铜包角条桌以253万元成交为冠军拍品；之后于12月20日落槌的同名专场稍显乏力，共推出家具类拍品约27件，最终成交21件，实现成交额1267.155万元，但本场夺魁拍品为近代伍炳亮制明式黄花梨透雕螭寿纹架子床——最终以345万元成交，位列第二的是一件清中期紫檀上格双层书柜（成对）——以287.5万元成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而自2015年秋拍开始“斫木——明清家具专场”的中贸圣佳，虽然涉足明清家具拍卖的时间不长，但在近两年的春、秋大拍中均开设同名专场，且成绩喜人。2017年6月18日落槌的“斫木”共计46件拍品，实现成交率93.48%，总成交额6912.65万元，曾著录于黄定中《留余斋藏明清家具》的清早期黄花梨螭龙纹四柱架子床以897万元的价格拔得本场头筹。2017年12月20日举槌的“斫木天籁——古琴及明清家具专场”，共有家具类拍品45件，最终成交35件；一对清早期黄花梨夔龙纹南官帽椅最终以1104万元成交，拔得专场头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从‘斫木’成交价的前三名便可看出，中贸圣佳今秋家具拍卖的亮点是坐具。如一对明末清初的黄花梨四出头官帽椅以1035万元成交，一对明黄花梨四出头官帽椅以874万元成交，分别是本场第二、第三的高成交价。”中贸圣佳国际拍卖有限公司器物部经理刘旭向记者分析，“尽管近两年的拍场有越来越多的新买家进入，但买家的愈发专业、成熟，促使大家对拍品严格筛选并深挖学术，最终在制式、传承等方方面面尽量为买家呈现深入的研究，成为必然趋势；与此同时，打造特色专场，最终努力呈现的精品，往往成为争相追捧的目标。”</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Style w:val="8"/>
          <w:rFonts w:hint="eastAsia" w:ascii="仿宋" w:hAnsi="仿宋" w:eastAsia="仿宋" w:cs="仿宋"/>
          <w:b/>
          <w:i w:val="0"/>
          <w:caps w:val="0"/>
          <w:color w:val="000000"/>
          <w:spacing w:val="0"/>
          <w:sz w:val="28"/>
          <w:szCs w:val="28"/>
          <w:shd w:val="clear" w:fill="FFFFFF"/>
        </w:rPr>
        <w:t>学术引导，尊重个性</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2017年11月5日，刚成立半年的上海匡时在其首拍暨2017年秋季拍卖会上，便设立“江南长物——明清古典家具清赏”。如此布局不难看出，明清家具拍卖的趋好发展是为上海匡时看中的；而最终结果也让首战告捷——该专场共计150件拍品创造了76%的成交率和5208.12万元的总成交额。其中，明黄花梨厚面架几翘头案以747.5万元的成交价位列第一，清卢葵生制黄花梨剔红嵌宝八屏风以517.5万元的成交价位列第二。</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一个多月后的12月21日，中国嘉德在嘉德艺术中心落槌“清隽明朗——明清古典家具精品”专场。作为其近两三年来重点打造的品牌专场，2017年秋的“清隽明朗”专场共推出42件拍品，最终实现总成交额6459.55万元，成交率为45.24%。环比春拍同名专场——共计58件拍品最终实现总成交额8211万元，成交率56.9%，各项数据略有下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来源为移情正心斋旧藏，曾著录于王世襄《明式家具研究》图版卷的明末清初黄花梨夹头榫独板面小画案，最终以2185万元成交荣登专场标王。而同为移情正心斋旧藏，并著录于《北京文物精粹大系·家具卷》中的清初紫檀四面平蝙蝠纹条桌最终以1127万元成交，为第二高价拍品；原为北京韵古斋旧藏，后著录在田家青编著《清代家具》一书的清中期紫檀高束腰条桌最终以1150万元成交，价据第三。</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总结此次秋拍时，中国嘉德国际拍卖有限公司工艺品部总经理、资深专家乔皓表示：“最终结果证实，更加成熟的买家让市场表现出对明星拍品的不懈追求，尤其对教科书式的明式家具更加认可，这也促使市场逐渐向高端化、精细化方向发展；这是近3年来几十本研究著作等学术力量注入市场后带来的最好反馈。正因为尊重学术，在学术的引导下，才让个性有所发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560" w:firstLineChars="20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其实，既尊重学术又尊重个性的市场特点不只体现在古董家具，当代中式家具的拍场表现同样如此。从保利山东的“尚·书房——经典明式家具”专场（57件拍品实现89.758万元的总成交额，45.61%的成交率）、北京保利的“游艺”专场（25件拍品实现609.27万元总成交额、逾85%的成交率）、中国嘉德的“拟古烁今——‘研朴堂’小叶紫檀制器”专场（11件拍品实现28.75万元的总成交额，9.09%的成交率）可见，纯粹的仿古并不为市场所追捧，而是在传统基础上有所创新的拍品才是拍场消费的目标。</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以往买家最看中材料，只要是黄花梨、紫檀类珍贵木材打造的家具，出现拍场就有人买，一件家具的价格80%是材料钱。但如今，即便材料珍贵但样式普通的家具，成交价格也很一般。”两木创始人、古董家具收藏家林锐群回顾2017年秋拍时认为：“随着市场愈加理性的变化，消费群体偏向年轻化，新中式家具的设计制作是在不断尝试摸索中创新、个性化，价格也在不断调整趋于合理，这正是2018年乃至今后市场逐步脱离调整的低迷，从而进入下一阶段发展的坚实基础和最佳起点。”</w:t>
      </w:r>
    </w:p>
    <w:p>
      <w:pPr>
        <w:ind w:firstLine="5880" w:firstLineChars="2100"/>
        <w:jc w:val="left"/>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来源： 艺市纵横</w:t>
      </w:r>
    </w:p>
    <w:p>
      <w:pPr>
        <w:rPr>
          <w:rFonts w:hint="eastAsia" w:ascii="仿宋" w:hAnsi="仿宋" w:eastAsia="仿宋" w:cs="仿宋"/>
          <w:b w:val="0"/>
          <w:i w:val="0"/>
          <w:caps w:val="0"/>
          <w:color w:val="000000"/>
          <w:spacing w:val="0"/>
          <w:kern w:val="2"/>
          <w:sz w:val="28"/>
          <w:szCs w:val="28"/>
          <w:lang w:val="en-US" w:eastAsia="zh-CN" w:bidi="ar-SA"/>
        </w:rPr>
      </w:pPr>
    </w:p>
    <w:p>
      <w:pPr>
        <w:rPr>
          <w:rFonts w:hint="eastAsia" w:ascii="仿宋" w:hAnsi="仿宋" w:eastAsia="仿宋" w:cs="仿宋"/>
          <w:b w:val="0"/>
          <w:i w:val="0"/>
          <w:caps w:val="0"/>
          <w:color w:val="000000"/>
          <w:spacing w:val="0"/>
          <w:kern w:val="2"/>
          <w:sz w:val="28"/>
          <w:szCs w:val="28"/>
          <w:lang w:val="en-US" w:eastAsia="zh-CN" w:bidi="ar-SA"/>
        </w:rPr>
      </w:pPr>
    </w:p>
    <w:p>
      <w:pPr>
        <w:ind w:firstLine="1440" w:firstLineChars="400"/>
        <w:jc w:val="left"/>
        <w:rPr>
          <w:rFonts w:hint="eastAsia"/>
          <w:lang w:val="en-US" w:eastAsia="zh-CN"/>
        </w:rPr>
      </w:pPr>
      <w:r>
        <w:rPr>
          <w:rFonts w:hint="eastAsia" w:ascii="仿宋" w:hAnsi="仿宋" w:eastAsia="仿宋" w:cs="仿宋"/>
          <w:sz w:val="36"/>
          <w:szCs w:val="36"/>
          <w:lang w:val="en-US" w:eastAsia="zh-CN"/>
        </w:rPr>
        <w:t>女人买包不再败家 投资回报率堪比黄金</w:t>
      </w:r>
    </w:p>
    <w:p>
      <w:pPr>
        <w:jc w:val="left"/>
        <w:rPr>
          <w:rFonts w:hint="eastAsia"/>
          <w:lang w:val="en-US" w:eastAsia="zh-CN"/>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ind w:firstLine="560" w:firstLineChars="200"/>
        <w:jc w:val="left"/>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你若是看过电影《天生购物狂》，就一定对女主角拍卖LV手袋那场戏印象深刻。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560" w:firstLineChars="20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和剧中女主角一样，王菲、刘嘉玲等明星都是限量版手袋的粉丝。不要以为这些明星仅仅是喜爱这种奢侈品，其实她们是在玩投资。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相对于书画、瓷器、珠宝等拍品，名牌手袋的价值处于相对低位，入门门槛较低，且价格更加透明，广受藏家行家认可。这也是近些年拍卖场上一个不可忽视的现象：名牌手袋已经从拍场边角料而逐渐占据春秋拍两季的中心舞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近些年，不只是爱马仕等品牌包的拍卖，腕表、珠宝、古董车、高端酒、雪茄等奢侈品都在缓慢地瓜分着拍卖市场的固有格局。很多人或许会感到诧异，拍卖和收藏是以艺术品为主，奢侈品为何要转战拍场来分一杯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w:t>
      </w:r>
      <w:r>
        <w:rPr>
          <w:rStyle w:val="8"/>
          <w:rFonts w:hint="eastAsia" w:ascii="仿宋" w:hAnsi="仿宋" w:eastAsia="仿宋" w:cs="仿宋"/>
          <w:b/>
          <w:i w:val="0"/>
          <w:caps w:val="0"/>
          <w:color w:val="000000"/>
          <w:spacing w:val="0"/>
          <w:sz w:val="28"/>
          <w:szCs w:val="28"/>
          <w:shd w:val="clear" w:fill="FFFFFF"/>
        </w:rPr>
        <w:t>1手袋拍卖渐成规模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奢侈品转换成艺术品，要满足稀缺性、手工艺的独特性、原材料的珍罕、是否有纪念价值、是否为名人使用以及历史文化背景等多重要素，限量版的手袋确实符合艺术品收藏的特质。目前，奢侈品手袋拍卖在整体的艺术品市场中比例尚小，但具有一定基础。而奢侈品手袋拥有很多高端群体，各大品牌也在逐渐拓展拍卖市场这一流通渠道。所以很多业内人士表示，这并不是奢侈品跌下神坛，向市场屈服，而是在酝酿新的商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奢侈手袋拍卖目前只能算得上是艺术品市场上一个较为崭新的概念，但很多拍卖结果显示，手袋不仅在拍卖价格上整体稳步上扬，而且随着拍卖规模的扩大和成交总额的不断放大，奢侈手袋在艺术品拍卖市场上所占的份额也在迅速增加。</w:t>
      </w:r>
    </w:p>
    <w:p>
      <w:pPr>
        <w:jc w:val="left"/>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　</w:t>
      </w:r>
      <w:r>
        <w:rPr>
          <w:rFonts w:hint="eastAsia" w:ascii="仿宋" w:hAnsi="仿宋" w:eastAsia="仿宋" w:cs="仿宋"/>
          <w:b w:val="0"/>
          <w:i w:val="0"/>
          <w:caps w:val="0"/>
          <w:color w:val="000000"/>
          <w:spacing w:val="0"/>
          <w:sz w:val="28"/>
          <w:szCs w:val="28"/>
          <w:shd w:val="clear" w:fill="FFFFFF"/>
          <w:lang w:val="en-US" w:eastAsia="zh-CN"/>
        </w:rPr>
        <w:t xml:space="preserve"> </w:t>
      </w:r>
      <w:r>
        <w:rPr>
          <w:rFonts w:hint="eastAsia" w:ascii="仿宋" w:hAnsi="仿宋" w:eastAsia="仿宋" w:cs="仿宋"/>
          <w:b w:val="0"/>
          <w:i w:val="0"/>
          <w:caps w:val="0"/>
          <w:color w:val="000000"/>
          <w:spacing w:val="0"/>
          <w:sz w:val="28"/>
          <w:szCs w:val="28"/>
          <w:shd w:val="clear" w:fill="FFFFFF"/>
        </w:rPr>
        <w:t>2015年春拍，一只爱马仕紫红色亮面鳄鱼皮铂金包（Birkin）拍出22.29万美元（约合人民币138.12万元）的天价，刷新拍卖史上手提包最高价成交纪录。</w:t>
      </w:r>
    </w:p>
    <w:p>
      <w:pPr>
        <w:ind w:firstLine="560" w:firstLineChars="200"/>
        <w:jc w:val="left"/>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中国个人奢侈品消费在2016年第三季度迎来了反弹并在2017年强势增长，中国奢侈品消费者占据了32%的全球市场份额。中国消费者的消费观念已经脱离蹒跚学步的阶段，渐渐发展出成熟的消费行为模式。</w:t>
      </w:r>
    </w:p>
    <w:p>
      <w:pPr>
        <w:ind w:firstLine="560" w:firstLineChars="200"/>
        <w:jc w:val="left"/>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2015年秋拍，保利香港“尚品手袋及配饰”专场，140多件拍品，总成交额1460.84万港元，成交率达80.85%。2017年秋拍，该专场总成交额达2385万港元，成交率达84.15%。</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对于投资包袋，华尔街著名投行Jefferies的一份最新报告称：某些二手奢侈品包袋的投资价值甚至超过了全球最成功的对冲基金，部分持有者的年化回报率可高达30%以上。如2010年以2.96万欧元买下的喜马拉雅手袋系列，2016年的售价为15.7万欧元。以爱马仕的股价作比，若2010年初购买爱马仕股票，2016年底售出，其涨幅为310%，但同期爱马仕二手奢侈品市场的增幅为432%。</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但是值得注意的是，想要靠“包”赚钱也不是一件容易事。奢侈手袋投资收藏专业性高，市场变现渠道窄，风险大。据悉，目前市场上，只有少量奢侈手袋可以保值。</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w:t>
      </w:r>
      <w:r>
        <w:rPr>
          <w:rStyle w:val="8"/>
          <w:rFonts w:hint="eastAsia" w:ascii="仿宋" w:hAnsi="仿宋" w:eastAsia="仿宋" w:cs="仿宋"/>
          <w:b/>
          <w:i w:val="0"/>
          <w:caps w:val="0"/>
          <w:color w:val="000000"/>
          <w:spacing w:val="0"/>
          <w:sz w:val="28"/>
          <w:szCs w:val="28"/>
          <w:shd w:val="clear" w:fill="FFFFFF"/>
        </w:rPr>
        <w:t>2专家破解手袋经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目前，稀有的奢侈品手袋正在成为知名拍卖行追逐的新宠，但如何判断其投资价值仍是一门非常复杂的学问。本期3月刊的《投资课堂》栏目邀请保利香港拍卖手袋专家赵晶晶女士，跟大家讲解怎么挑选以及如何保养。[以下为专家回答的部分节选]</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Style w:val="8"/>
          <w:rFonts w:hint="eastAsia" w:ascii="仿宋" w:hAnsi="仿宋" w:eastAsia="仿宋" w:cs="仿宋"/>
          <w:b/>
          <w:i w:val="0"/>
          <w:caps w:val="0"/>
          <w:color w:val="000000"/>
          <w:spacing w:val="0"/>
          <w:sz w:val="28"/>
          <w:szCs w:val="28"/>
          <w:shd w:val="clear" w:fill="FFFFFF"/>
        </w:rPr>
        <w:t>市场走势</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《收藏/拍卖》：请你分析一下近些年拍场上奢侈手袋的市场走势？</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赵晶晶：虽然全球经济震荡前行，艺术品拍卖市场也处于不断调整阶段，但奢侈品手袋市场却是反其道而行，显露出稳步增长的趋势……</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中国作为全球新兴的经济体，依然是世界上最有潜力的奢侈品市场，有研究报告显示，2017年全球奢侈品市场整体规模达到1.2万亿欧元（约11.1万亿港元），个人奢侈品市场销售额创历史新高，其中32%来自中国消费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w:t>
      </w:r>
      <w:r>
        <w:rPr>
          <w:rStyle w:val="8"/>
          <w:rFonts w:hint="eastAsia" w:ascii="仿宋" w:hAnsi="仿宋" w:eastAsia="仿宋" w:cs="仿宋"/>
          <w:b/>
          <w:i w:val="0"/>
          <w:caps w:val="0"/>
          <w:color w:val="000000"/>
          <w:spacing w:val="0"/>
          <w:sz w:val="28"/>
          <w:szCs w:val="28"/>
          <w:shd w:val="clear" w:fill="FFFFFF"/>
        </w:rPr>
        <w:t>收藏策略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《收藏·拍卖》：决定奢侈品手袋收藏价值的主要因素有哪些？一般我们收藏手袋，主要集中于那些品类？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赵晶晶：……对于刚开始收藏手袋的买家，我会建议选择一些经典的款式，比较容易配搭的颜色，因市场上的数量比较多，价格保持得相对较为稳定。</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对于有收藏经验的资深藏家，可以选择一些较为稀有的限量版及特别订制版手袋进行收藏，当然，手袋的价格也会更高……</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例如我们在2017年拍出的一只30公分SO BLACK 鳄鱼皮柏金包，当时此手袋的零售价格为30万港元左右，时隔7年后，此手袋以105万港元的拍卖价格售出。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w:t>
      </w:r>
      <w:r>
        <w:rPr>
          <w:rStyle w:val="8"/>
          <w:rFonts w:hint="eastAsia" w:ascii="仿宋" w:hAnsi="仿宋" w:eastAsia="仿宋" w:cs="仿宋"/>
          <w:b/>
          <w:i w:val="0"/>
          <w:caps w:val="0"/>
          <w:color w:val="000000"/>
          <w:spacing w:val="0"/>
          <w:sz w:val="28"/>
          <w:szCs w:val="28"/>
          <w:shd w:val="clear" w:fill="FFFFFF"/>
        </w:rPr>
        <w:t>保养秘籍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《收藏·拍卖》：对于想入门奢侈品牌手袋收藏的爱好者有哪些建议？收藏级手袋日常保养需要注意什么？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80" w:lineRule="atLeast"/>
        <w:ind w:left="0" w:right="0" w:firstLine="0"/>
        <w:rPr>
          <w:rFonts w:hint="eastAsia" w:ascii="仿宋" w:hAnsi="仿宋" w:eastAsia="仿宋" w:cs="仿宋"/>
          <w:b w:val="0"/>
          <w:i w:val="0"/>
          <w:caps w:val="0"/>
          <w:color w:val="000000"/>
          <w:spacing w:val="0"/>
          <w:sz w:val="28"/>
          <w:szCs w:val="28"/>
        </w:rPr>
      </w:pPr>
      <w:r>
        <w:rPr>
          <w:rFonts w:hint="eastAsia" w:ascii="仿宋" w:hAnsi="仿宋" w:eastAsia="仿宋" w:cs="仿宋"/>
          <w:b w:val="0"/>
          <w:i w:val="0"/>
          <w:caps w:val="0"/>
          <w:color w:val="000000"/>
          <w:spacing w:val="0"/>
          <w:sz w:val="28"/>
          <w:szCs w:val="28"/>
          <w:shd w:val="clear" w:fill="FFFFFF"/>
        </w:rPr>
        <w:t>　　赵晶晶：……手袋的保养直接影响着手袋的保值，除了将包包送去专业机构保养外，日常生活使用中也需要进行适当的处理。特别皮质如鳄鱼皮及蜥蜴皮等因普通皮革保养液会毁掉蛋白质表层的自然光泽，造成褪色，最好使用白色的软布按鳞片纹理方向轻轻擦拭即可。</w:t>
      </w:r>
    </w:p>
    <w:p>
      <w:pPr>
        <w:ind w:firstLine="223" w:firstLineChars="0"/>
        <w:jc w:val="left"/>
        <w:rPr>
          <w:rFonts w:hint="eastAsia" w:ascii="仿宋" w:hAnsi="仿宋" w:eastAsia="仿宋" w:cs="仿宋"/>
          <w:b w:val="0"/>
          <w:i w:val="0"/>
          <w:caps w:val="0"/>
          <w:color w:val="000000"/>
          <w:spacing w:val="0"/>
          <w:sz w:val="28"/>
          <w:szCs w:val="28"/>
          <w:shd w:val="clear" w:fill="FFFFFF"/>
        </w:rPr>
      </w:pPr>
      <w:r>
        <w:rPr>
          <w:rFonts w:hint="eastAsia" w:ascii="仿宋" w:hAnsi="仿宋" w:eastAsia="仿宋" w:cs="仿宋"/>
          <w:b w:val="0"/>
          <w:i w:val="0"/>
          <w:caps w:val="0"/>
          <w:color w:val="000000"/>
          <w:spacing w:val="0"/>
          <w:sz w:val="28"/>
          <w:szCs w:val="28"/>
          <w:shd w:val="clear" w:fill="FFFFFF"/>
        </w:rPr>
        <w:t>　如不小心沾到水渍或油渍，最好第一时间用吸水性较强的纸巾或软布将水吸干，切勿使用风筒或风扇将水渍吹干，以免将水分浸润得更深；如手袋严重污染时，不要自行处理，最好送回品牌指定的专卖店进行维修保养，这些都是非常实用的技巧。</w:t>
      </w:r>
    </w:p>
    <w:p>
      <w:pPr>
        <w:rPr>
          <w:rFonts w:hint="eastAsia" w:ascii="仿宋" w:hAnsi="仿宋" w:eastAsia="仿宋" w:cs="仿宋"/>
          <w:b w:val="0"/>
          <w:i w:val="0"/>
          <w:caps w:val="0"/>
          <w:color w:val="000000"/>
          <w:spacing w:val="0"/>
          <w:kern w:val="2"/>
          <w:sz w:val="28"/>
          <w:szCs w:val="28"/>
          <w:lang w:val="en-US" w:eastAsia="zh-CN" w:bidi="ar-SA"/>
        </w:rPr>
      </w:pPr>
    </w:p>
    <w:p>
      <w:pPr>
        <w:ind w:firstLine="5600" w:firstLineChars="2000"/>
        <w:rPr>
          <w:rFonts w:hint="eastAsia" w:ascii="仿宋" w:hAnsi="仿宋" w:eastAsia="仿宋" w:cs="仿宋"/>
          <w:b w:val="0"/>
          <w:i w:val="0"/>
          <w:caps w:val="0"/>
          <w:color w:val="000000"/>
          <w:spacing w:val="0"/>
          <w:kern w:val="2"/>
          <w:sz w:val="28"/>
          <w:szCs w:val="28"/>
          <w:lang w:val="en-US" w:eastAsia="zh-CN" w:bidi="ar-SA"/>
        </w:rPr>
      </w:pPr>
      <w:r>
        <w:rPr>
          <w:rFonts w:hint="eastAsia" w:ascii="仿宋" w:hAnsi="仿宋" w:eastAsia="仿宋" w:cs="仿宋"/>
          <w:b w:val="0"/>
          <w:i w:val="0"/>
          <w:caps w:val="0"/>
          <w:color w:val="000000"/>
          <w:spacing w:val="0"/>
          <w:sz w:val="28"/>
          <w:szCs w:val="28"/>
          <w:shd w:val="clear" w:fill="FFFFFF"/>
        </w:rPr>
        <w:t>来源： 收藏拍卖杂志</w:t>
      </w:r>
    </w:p>
    <w:p>
      <w:pPr>
        <w:jc w:val="left"/>
        <w:rPr>
          <w:rFonts w:hint="eastAsia" w:ascii="微软雅黑" w:hAnsi="微软雅黑" w:eastAsia="微软雅黑" w:cs="微软雅黑"/>
          <w:b w:val="0"/>
          <w:i w:val="0"/>
          <w:caps w:val="0"/>
          <w:color w:val="000000"/>
          <w:spacing w:val="0"/>
          <w:kern w:val="2"/>
          <w:sz w:val="27"/>
          <w:szCs w:val="27"/>
          <w:lang w:val="en-US" w:eastAsia="zh-CN" w:bidi="ar-SA"/>
        </w:rPr>
      </w:pPr>
      <w:r>
        <w:rPr>
          <w:rFonts w:hint="eastAsia" w:ascii="微软雅黑" w:hAnsi="微软雅黑" w:eastAsia="微软雅黑" w:cs="微软雅黑"/>
          <w:b w:val="0"/>
          <w:i w:val="0"/>
          <w:caps w:val="0"/>
          <w:color w:val="000000"/>
          <w:spacing w:val="0"/>
          <w:kern w:val="2"/>
          <w:sz w:val="27"/>
          <w:szCs w:val="27"/>
          <w:lang w:val="en-US" w:eastAsia="zh-CN" w:bidi="ar-SA"/>
        </w:rPr>
        <w:t xml:space="preserve">                              </w:t>
      </w:r>
    </w:p>
    <w:p>
      <w:pPr>
        <w:tabs>
          <w:tab w:val="left" w:pos="3148"/>
        </w:tabs>
        <w:ind w:firstLine="1800" w:firstLineChars="500"/>
        <w:jc w:val="left"/>
        <w:rPr>
          <w:rFonts w:hint="eastAsia" w:ascii="仿宋" w:hAnsi="仿宋" w:eastAsia="仿宋" w:cs="仿宋"/>
          <w:b w:val="0"/>
          <w:i w:val="0"/>
          <w:caps w:val="0"/>
          <w:color w:val="000000"/>
          <w:spacing w:val="0"/>
          <w:sz w:val="36"/>
          <w:szCs w:val="36"/>
          <w:shd w:val="clear" w:fill="FFFFFF"/>
          <w:lang w:val="en-US" w:eastAsia="zh-CN"/>
        </w:rPr>
      </w:pPr>
      <w:r>
        <w:rPr>
          <w:rFonts w:hint="eastAsia" w:ascii="仿宋" w:hAnsi="仿宋" w:eastAsia="仿宋" w:cs="仿宋"/>
          <w:b w:val="0"/>
          <w:i w:val="0"/>
          <w:caps w:val="0"/>
          <w:color w:val="000000"/>
          <w:spacing w:val="0"/>
          <w:sz w:val="36"/>
          <w:szCs w:val="36"/>
          <w:shd w:val="clear" w:fill="FFFFFF"/>
          <w:lang w:val="en-US" w:eastAsia="zh-CN"/>
        </w:rPr>
        <w:br w:type="textWrapping"/>
      </w:r>
    </w:p>
    <w:p>
      <w:pPr>
        <w:tabs>
          <w:tab w:val="left" w:pos="3148"/>
        </w:tabs>
        <w:ind w:firstLine="1800" w:firstLineChars="500"/>
        <w:jc w:val="left"/>
        <w:rPr>
          <w:rFonts w:hint="eastAsia" w:ascii="仿宋" w:hAnsi="仿宋" w:eastAsia="仿宋" w:cs="仿宋"/>
          <w:b w:val="0"/>
          <w:i w:val="0"/>
          <w:caps w:val="0"/>
          <w:color w:val="000000"/>
          <w:spacing w:val="0"/>
          <w:sz w:val="36"/>
          <w:szCs w:val="36"/>
          <w:shd w:val="clear" w:fill="FFFFFF"/>
          <w:lang w:val="en-US" w:eastAsia="zh-CN"/>
        </w:rPr>
      </w:pPr>
      <w:r>
        <w:rPr>
          <w:rFonts w:hint="eastAsia" w:ascii="仿宋" w:hAnsi="仿宋" w:eastAsia="仿宋" w:cs="仿宋"/>
          <w:b w:val="0"/>
          <w:i w:val="0"/>
          <w:caps w:val="0"/>
          <w:color w:val="000000"/>
          <w:spacing w:val="0"/>
          <w:sz w:val="36"/>
          <w:szCs w:val="36"/>
          <w:shd w:val="clear" w:fill="FFFFFF"/>
          <w:lang w:val="en-US" w:eastAsia="zh-CN"/>
        </w:rPr>
        <w:t>2018年6月---8 月拍卖师变更名单</w:t>
      </w:r>
    </w:p>
    <w:tbl>
      <w:tblPr>
        <w:tblStyle w:val="17"/>
        <w:tblpPr w:leftFromText="180" w:rightFromText="180" w:vertAnchor="text" w:horzAnchor="page" w:tblpX="1087" w:tblpY="288"/>
        <w:tblOverlap w:val="never"/>
        <w:tblW w:w="10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3855"/>
        <w:gridCol w:w="373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trPr>
        <w:tc>
          <w:tcPr>
            <w:tcW w:w="1389" w:type="dxa"/>
            <w:vAlign w:val="center"/>
          </w:tcPr>
          <w:p>
            <w:pPr>
              <w:jc w:val="center"/>
              <w:rPr>
                <w:rFonts w:hint="eastAsia" w:ascii="仿宋" w:hAnsi="仿宋" w:eastAsia="仿宋" w:cs="仿宋"/>
                <w:color w:val="181717" w:themeColor="background2" w:themeShade="1A"/>
                <w:sz w:val="24"/>
                <w:szCs w:val="24"/>
              </w:rPr>
            </w:pPr>
            <w:bookmarkStart w:id="1" w:name="_Toc14938"/>
            <w:r>
              <w:rPr>
                <w:rFonts w:hint="eastAsia" w:ascii="仿宋" w:hAnsi="仿宋" w:eastAsia="仿宋" w:cs="仿宋"/>
                <w:color w:val="181717" w:themeColor="background2" w:themeShade="1A"/>
                <w:sz w:val="24"/>
                <w:szCs w:val="24"/>
              </w:rPr>
              <w:t>姓名</w:t>
            </w:r>
          </w:p>
        </w:tc>
        <w:tc>
          <w:tcPr>
            <w:tcW w:w="3855" w:type="dxa"/>
            <w:vAlign w:val="center"/>
          </w:tcPr>
          <w:p>
            <w:pPr>
              <w:jc w:val="center"/>
              <w:rPr>
                <w:rFonts w:hint="eastAsia" w:ascii="仿宋" w:hAnsi="仿宋" w:eastAsia="仿宋" w:cs="仿宋"/>
                <w:color w:val="181717" w:themeColor="background2" w:themeShade="1A"/>
                <w:sz w:val="24"/>
                <w:szCs w:val="24"/>
              </w:rPr>
            </w:pPr>
            <w:r>
              <w:rPr>
                <w:rFonts w:hint="eastAsia" w:ascii="仿宋" w:hAnsi="仿宋" w:eastAsia="仿宋" w:cs="仿宋"/>
                <w:color w:val="181717" w:themeColor="background2" w:themeShade="1A"/>
                <w:sz w:val="24"/>
                <w:szCs w:val="24"/>
              </w:rPr>
              <w:t>调出单位名称</w:t>
            </w:r>
          </w:p>
        </w:tc>
        <w:tc>
          <w:tcPr>
            <w:tcW w:w="3735" w:type="dxa"/>
            <w:vAlign w:val="center"/>
          </w:tcPr>
          <w:p>
            <w:pPr>
              <w:jc w:val="center"/>
              <w:rPr>
                <w:rFonts w:hint="eastAsia" w:ascii="仿宋" w:hAnsi="仿宋" w:eastAsia="仿宋" w:cs="仿宋"/>
                <w:color w:val="181717" w:themeColor="background2" w:themeShade="1A"/>
                <w:sz w:val="24"/>
                <w:szCs w:val="24"/>
              </w:rPr>
            </w:pPr>
            <w:r>
              <w:rPr>
                <w:rFonts w:hint="eastAsia" w:ascii="仿宋" w:hAnsi="仿宋" w:eastAsia="仿宋" w:cs="仿宋"/>
                <w:color w:val="181717" w:themeColor="background2" w:themeShade="1A"/>
                <w:sz w:val="24"/>
                <w:szCs w:val="24"/>
              </w:rPr>
              <w:t>调入单位名称</w:t>
            </w:r>
          </w:p>
        </w:tc>
        <w:tc>
          <w:tcPr>
            <w:tcW w:w="1260" w:type="dxa"/>
            <w:vAlign w:val="center"/>
          </w:tcPr>
          <w:p>
            <w:pPr>
              <w:jc w:val="center"/>
              <w:rPr>
                <w:rFonts w:hint="eastAsia" w:ascii="仿宋" w:hAnsi="仿宋" w:eastAsia="仿宋" w:cs="仿宋"/>
                <w:color w:val="181717" w:themeColor="background2" w:themeShade="1A"/>
                <w:sz w:val="24"/>
                <w:szCs w:val="24"/>
              </w:rPr>
            </w:pPr>
            <w:r>
              <w:rPr>
                <w:rFonts w:hint="eastAsia" w:ascii="仿宋" w:hAnsi="仿宋" w:eastAsia="仿宋" w:cs="仿宋"/>
                <w:color w:val="181717" w:themeColor="background2" w:themeShade="1A"/>
                <w:sz w:val="24"/>
                <w:szCs w:val="24"/>
              </w:rPr>
              <w:t>证书管理号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王竹海</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河北宏诚拍卖有限公司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河北高阁拍卖有限公司</w:t>
            </w:r>
          </w:p>
        </w:tc>
        <w:tc>
          <w:tcPr>
            <w:tcW w:w="1260" w:type="dxa"/>
            <w:vAlign w:val="center"/>
          </w:tcPr>
          <w:p>
            <w:pPr>
              <w:jc w:val="both"/>
              <w:rPr>
                <w:rFonts w:hint="eastAsia" w:ascii="仿宋" w:hAnsi="仿宋" w:eastAsia="仿宋" w:cs="仿宋"/>
                <w:i w:val="0"/>
                <w:color w:val="181717" w:themeColor="background2" w:themeShade="1A"/>
                <w:sz w:val="24"/>
                <w:szCs w:val="24"/>
                <w:lang w:val="en-US" w:eastAsia="zh-CN"/>
              </w:rPr>
            </w:pPr>
            <w:r>
              <w:rPr>
                <w:rFonts w:hint="eastAsia" w:ascii="仿宋" w:hAnsi="仿宋" w:eastAsia="仿宋" w:cs="仿宋"/>
                <w:i w:val="0"/>
                <w:color w:val="181717" w:themeColor="background2" w:themeShade="1A"/>
                <w:sz w:val="24"/>
                <w:szCs w:val="24"/>
                <w:lang w:val="en-US" w:eastAsia="zh-CN"/>
              </w:rPr>
              <w:t>2600117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耿海燕</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河北金鼎拍卖有限公司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val="en-US" w:eastAsia="zh-CN"/>
              </w:rPr>
            </w:pPr>
            <w:r>
              <w:rPr>
                <w:rFonts w:hint="eastAsia" w:ascii="仿宋" w:hAnsi="仿宋" w:eastAsia="仿宋" w:cs="仿宋"/>
                <w:i w:val="0"/>
                <w:color w:val="181717" w:themeColor="background2" w:themeShade="1A"/>
                <w:sz w:val="24"/>
                <w:szCs w:val="24"/>
                <w:lang w:eastAsia="zh-CN"/>
              </w:rPr>
              <w:t>邢台万鼎拍卖有限公司</w:t>
            </w:r>
          </w:p>
        </w:tc>
        <w:tc>
          <w:tcPr>
            <w:tcW w:w="1260" w:type="dxa"/>
            <w:vAlign w:val="center"/>
          </w:tcPr>
          <w:p>
            <w:pPr>
              <w:jc w:val="both"/>
              <w:rPr>
                <w:rFonts w:hint="eastAsia" w:ascii="仿宋" w:hAnsi="仿宋" w:eastAsia="仿宋" w:cs="仿宋"/>
                <w:i w:val="0"/>
                <w:color w:val="181717" w:themeColor="background2" w:themeShade="1A"/>
                <w:sz w:val="24"/>
                <w:szCs w:val="24"/>
                <w:lang w:val="en-US" w:eastAsia="zh-CN"/>
              </w:rPr>
            </w:pPr>
            <w:r>
              <w:rPr>
                <w:rFonts w:hint="eastAsia" w:ascii="仿宋" w:hAnsi="仿宋" w:eastAsia="仿宋" w:cs="仿宋"/>
                <w:i w:val="0"/>
                <w:color w:val="181717" w:themeColor="background2" w:themeShade="1A"/>
                <w:sz w:val="24"/>
                <w:szCs w:val="24"/>
                <w:lang w:val="en-US" w:eastAsia="zh-CN"/>
              </w:rPr>
              <w:t>2600379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徐春霞</w:t>
            </w:r>
          </w:p>
        </w:tc>
        <w:tc>
          <w:tcPr>
            <w:tcW w:w="3855"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kern w:val="0"/>
                <w:sz w:val="24"/>
                <w:szCs w:val="24"/>
                <w:u w:val="none"/>
                <w:lang w:val="en-US" w:eastAsia="zh-CN" w:bidi="ar"/>
              </w:rPr>
              <w:t>济宁天成拍卖有限公司</w:t>
            </w:r>
          </w:p>
        </w:tc>
        <w:tc>
          <w:tcPr>
            <w:tcW w:w="3735"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kern w:val="0"/>
                <w:sz w:val="24"/>
                <w:szCs w:val="24"/>
                <w:u w:val="none"/>
                <w:lang w:val="en-US" w:eastAsia="zh-CN" w:bidi="ar"/>
              </w:rPr>
              <w:t>河北九州泓德拍卖有限公司</w:t>
            </w:r>
          </w:p>
        </w:tc>
        <w:tc>
          <w:tcPr>
            <w:tcW w:w="1260" w:type="dxa"/>
            <w:vAlign w:val="center"/>
          </w:tcPr>
          <w:p>
            <w:pPr>
              <w:jc w:val="both"/>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kern w:val="0"/>
                <w:sz w:val="24"/>
                <w:szCs w:val="24"/>
                <w:u w:val="none"/>
                <w:lang w:val="en-US" w:eastAsia="zh-CN" w:bidi="ar"/>
              </w:rPr>
              <w:t>1800293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kern w:val="0"/>
                <w:sz w:val="24"/>
                <w:szCs w:val="24"/>
                <w:u w:val="none"/>
                <w:lang w:val="en-US" w:eastAsia="zh-CN" w:bidi="ar"/>
              </w:rPr>
              <w:t>刘书娟</w:t>
            </w:r>
          </w:p>
        </w:tc>
        <w:tc>
          <w:tcPr>
            <w:tcW w:w="3855"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kern w:val="0"/>
                <w:sz w:val="24"/>
                <w:szCs w:val="24"/>
                <w:u w:val="none"/>
                <w:lang w:val="en-US" w:eastAsia="zh-CN" w:bidi="ar"/>
              </w:rPr>
              <w:t>廊坊市天正拍卖行有限公司</w:t>
            </w:r>
          </w:p>
        </w:tc>
        <w:tc>
          <w:tcPr>
            <w:tcW w:w="3735"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kern w:val="0"/>
                <w:sz w:val="24"/>
                <w:szCs w:val="24"/>
                <w:u w:val="none"/>
                <w:lang w:val="en-US" w:eastAsia="zh-CN" w:bidi="ar"/>
              </w:rPr>
              <w:t>邯郸市金恒达拍卖有限公司</w:t>
            </w:r>
          </w:p>
        </w:tc>
        <w:tc>
          <w:tcPr>
            <w:tcW w:w="1260" w:type="dxa"/>
            <w:vAlign w:val="center"/>
          </w:tcPr>
          <w:p>
            <w:pPr>
              <w:jc w:val="both"/>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kern w:val="0"/>
                <w:sz w:val="24"/>
                <w:szCs w:val="24"/>
                <w:u w:val="none"/>
                <w:lang w:val="en-US" w:eastAsia="zh-CN" w:bidi="ar"/>
              </w:rPr>
              <w:t>2400058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罗茜</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辽宁中信拍卖有限公司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唐山市丰南区恒德拍卖有限公司</w:t>
            </w:r>
          </w:p>
        </w:tc>
        <w:tc>
          <w:tcPr>
            <w:tcW w:w="1260" w:type="dxa"/>
            <w:vAlign w:val="center"/>
          </w:tcPr>
          <w:p>
            <w:pPr>
              <w:jc w:val="both"/>
              <w:rPr>
                <w:rFonts w:hint="eastAsia" w:ascii="仿宋" w:hAnsi="仿宋" w:eastAsia="仿宋" w:cs="仿宋"/>
                <w:i w:val="0"/>
                <w:color w:val="181717" w:themeColor="background2" w:themeShade="1A"/>
                <w:sz w:val="24"/>
                <w:szCs w:val="24"/>
                <w:lang w:val="en-US" w:eastAsia="zh-CN"/>
              </w:rPr>
            </w:pPr>
            <w:r>
              <w:rPr>
                <w:rFonts w:hint="eastAsia" w:ascii="仿宋" w:hAnsi="仿宋" w:eastAsia="仿宋" w:cs="仿宋"/>
                <w:i w:val="0"/>
                <w:color w:val="181717" w:themeColor="background2" w:themeShade="1A"/>
                <w:sz w:val="24"/>
                <w:szCs w:val="24"/>
                <w:lang w:val="en-US" w:eastAsia="zh-CN"/>
              </w:rPr>
              <w:t>2400132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张洪倩</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河北通智拍卖有限公司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天津市泰和拍卖有限责任公司</w:t>
            </w:r>
          </w:p>
        </w:tc>
        <w:tc>
          <w:tcPr>
            <w:tcW w:w="1260" w:type="dxa"/>
            <w:vAlign w:val="center"/>
          </w:tcPr>
          <w:p>
            <w:pPr>
              <w:jc w:val="both"/>
              <w:rPr>
                <w:rFonts w:hint="eastAsia" w:ascii="仿宋" w:hAnsi="仿宋" w:eastAsia="仿宋" w:cs="仿宋"/>
                <w:i w:val="0"/>
                <w:color w:val="181717" w:themeColor="background2" w:themeShade="1A"/>
                <w:sz w:val="24"/>
                <w:szCs w:val="24"/>
                <w:lang w:val="en-US" w:eastAsia="zh-CN"/>
              </w:rPr>
            </w:pPr>
            <w:r>
              <w:rPr>
                <w:rFonts w:hint="eastAsia" w:ascii="仿宋" w:hAnsi="仿宋" w:eastAsia="仿宋" w:cs="仿宋"/>
                <w:i w:val="0"/>
                <w:color w:val="181717" w:themeColor="background2" w:themeShade="1A"/>
                <w:sz w:val="24"/>
                <w:szCs w:val="24"/>
                <w:lang w:val="en-US" w:eastAsia="zh-CN"/>
              </w:rPr>
              <w:t>2600066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张雯倩</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廊坊市聚得利拍卖有限公司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河北金崛拍卖有限公司</w:t>
            </w:r>
          </w:p>
        </w:tc>
        <w:tc>
          <w:tcPr>
            <w:tcW w:w="1260" w:type="dxa"/>
            <w:vAlign w:val="center"/>
          </w:tcPr>
          <w:p>
            <w:pPr>
              <w:jc w:val="both"/>
              <w:rPr>
                <w:rFonts w:hint="eastAsia" w:ascii="仿宋" w:hAnsi="仿宋" w:eastAsia="仿宋" w:cs="仿宋"/>
                <w:i w:val="0"/>
                <w:color w:val="181717" w:themeColor="background2" w:themeShade="1A"/>
                <w:sz w:val="24"/>
                <w:szCs w:val="24"/>
                <w:lang w:val="en-US" w:eastAsia="zh-CN"/>
              </w:rPr>
            </w:pPr>
            <w:r>
              <w:rPr>
                <w:rFonts w:hint="eastAsia" w:ascii="仿宋" w:hAnsi="仿宋" w:eastAsia="仿宋" w:cs="仿宋"/>
                <w:i w:val="0"/>
                <w:color w:val="181717" w:themeColor="background2" w:themeShade="1A"/>
                <w:sz w:val="24"/>
                <w:szCs w:val="24"/>
                <w:lang w:val="en-US" w:eastAsia="zh-CN"/>
              </w:rPr>
              <w:t>2500074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冉蓓蓓</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河北物华拍卖有限公司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唐山市瑞华拍卖有限公司</w:t>
            </w:r>
          </w:p>
        </w:tc>
        <w:tc>
          <w:tcPr>
            <w:tcW w:w="1260" w:type="dxa"/>
            <w:vAlign w:val="center"/>
          </w:tcPr>
          <w:p>
            <w:pPr>
              <w:jc w:val="both"/>
              <w:rPr>
                <w:rFonts w:hint="eastAsia" w:ascii="仿宋" w:hAnsi="仿宋" w:eastAsia="仿宋" w:cs="仿宋"/>
                <w:i w:val="0"/>
                <w:color w:val="181717" w:themeColor="background2" w:themeShade="1A"/>
                <w:sz w:val="24"/>
                <w:szCs w:val="24"/>
                <w:lang w:val="en-US" w:eastAsia="zh-CN"/>
              </w:rPr>
            </w:pPr>
            <w:r>
              <w:rPr>
                <w:rFonts w:hint="eastAsia" w:ascii="仿宋" w:hAnsi="仿宋" w:eastAsia="仿宋" w:cs="仿宋"/>
                <w:i w:val="0"/>
                <w:color w:val="181717" w:themeColor="background2" w:themeShade="1A"/>
                <w:sz w:val="24"/>
                <w:szCs w:val="24"/>
                <w:lang w:val="en-US" w:eastAsia="zh-CN"/>
              </w:rPr>
              <w:t>2500073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陆海洋</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石家庄盛信拍卖有限公司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河北富安拍卖有限公司</w:t>
            </w:r>
          </w:p>
        </w:tc>
        <w:tc>
          <w:tcPr>
            <w:tcW w:w="1260" w:type="dxa"/>
            <w:vAlign w:val="center"/>
          </w:tcPr>
          <w:p>
            <w:pPr>
              <w:jc w:val="both"/>
              <w:rPr>
                <w:rFonts w:hint="eastAsia" w:ascii="仿宋" w:hAnsi="仿宋" w:eastAsia="仿宋" w:cs="仿宋"/>
                <w:i w:val="0"/>
                <w:color w:val="181717" w:themeColor="background2" w:themeShade="1A"/>
                <w:sz w:val="24"/>
                <w:szCs w:val="24"/>
                <w:lang w:val="en-US" w:eastAsia="zh-CN"/>
              </w:rPr>
            </w:pPr>
            <w:r>
              <w:rPr>
                <w:rFonts w:hint="eastAsia" w:ascii="仿宋" w:hAnsi="仿宋" w:eastAsia="仿宋" w:cs="仿宋"/>
                <w:i w:val="0"/>
                <w:color w:val="181717" w:themeColor="background2" w:themeShade="1A"/>
                <w:sz w:val="24"/>
                <w:szCs w:val="24"/>
                <w:lang w:val="en-US" w:eastAsia="zh-CN"/>
              </w:rPr>
              <w:t>2400063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陈宁</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河北信立拍卖有限公司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河南泽昊拍卖有限公司</w:t>
            </w:r>
          </w:p>
        </w:tc>
        <w:tc>
          <w:tcPr>
            <w:tcW w:w="1260" w:type="dxa"/>
            <w:vAlign w:val="center"/>
          </w:tcPr>
          <w:p>
            <w:pPr>
              <w:jc w:val="both"/>
              <w:rPr>
                <w:rFonts w:hint="eastAsia" w:ascii="仿宋" w:hAnsi="仿宋" w:eastAsia="仿宋" w:cs="仿宋"/>
                <w:i w:val="0"/>
                <w:color w:val="181717" w:themeColor="background2" w:themeShade="1A"/>
                <w:sz w:val="24"/>
                <w:szCs w:val="24"/>
                <w:lang w:val="en-US" w:eastAsia="zh-CN"/>
              </w:rPr>
            </w:pPr>
            <w:r>
              <w:rPr>
                <w:rFonts w:hint="eastAsia" w:ascii="仿宋" w:hAnsi="仿宋" w:eastAsia="仿宋" w:cs="仿宋"/>
                <w:i w:val="0"/>
                <w:color w:val="181717" w:themeColor="background2" w:themeShade="1A"/>
                <w:sz w:val="24"/>
                <w:szCs w:val="24"/>
                <w:lang w:val="en-US" w:eastAsia="zh-CN"/>
              </w:rPr>
              <w:t>2600385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康子山</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唐山嘉信拍卖有限公司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天津泰成东亚国际拍卖有限公司</w:t>
            </w:r>
          </w:p>
        </w:tc>
        <w:tc>
          <w:tcPr>
            <w:tcW w:w="1260" w:type="dxa"/>
            <w:vAlign w:val="center"/>
          </w:tcPr>
          <w:p>
            <w:pPr>
              <w:jc w:val="both"/>
              <w:rPr>
                <w:rFonts w:hint="eastAsia" w:ascii="仿宋" w:hAnsi="仿宋" w:eastAsia="仿宋" w:cs="仿宋"/>
                <w:i w:val="0"/>
                <w:color w:val="181717" w:themeColor="background2" w:themeShade="1A"/>
                <w:sz w:val="24"/>
                <w:szCs w:val="24"/>
                <w:lang w:val="en-US" w:eastAsia="zh-CN"/>
              </w:rPr>
            </w:pPr>
            <w:r>
              <w:rPr>
                <w:rFonts w:hint="eastAsia" w:ascii="仿宋" w:hAnsi="仿宋" w:eastAsia="仿宋" w:cs="仿宋"/>
                <w:i w:val="0"/>
                <w:color w:val="181717" w:themeColor="background2" w:themeShade="1A"/>
                <w:sz w:val="24"/>
                <w:szCs w:val="24"/>
                <w:lang w:val="en-US" w:eastAsia="zh-CN"/>
              </w:rPr>
              <w:t>0802287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陈运芝</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保定华康拍卖有限公司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保定市博鑫拍卖有限公司</w:t>
            </w:r>
          </w:p>
        </w:tc>
        <w:tc>
          <w:tcPr>
            <w:tcW w:w="1260" w:type="dxa"/>
            <w:vAlign w:val="center"/>
          </w:tcPr>
          <w:p>
            <w:pPr>
              <w:jc w:val="both"/>
              <w:rPr>
                <w:rFonts w:hint="eastAsia" w:ascii="仿宋" w:hAnsi="仿宋" w:eastAsia="仿宋" w:cs="仿宋"/>
                <w:i w:val="0"/>
                <w:color w:val="181717" w:themeColor="background2" w:themeShade="1A"/>
                <w:sz w:val="24"/>
                <w:szCs w:val="24"/>
                <w:lang w:val="en-US" w:eastAsia="zh-CN"/>
              </w:rPr>
            </w:pPr>
            <w:r>
              <w:rPr>
                <w:rFonts w:hint="eastAsia" w:ascii="仿宋" w:hAnsi="仿宋" w:eastAsia="仿宋" w:cs="仿宋"/>
                <w:i w:val="0"/>
                <w:color w:val="181717" w:themeColor="background2" w:themeShade="1A"/>
                <w:sz w:val="24"/>
                <w:szCs w:val="24"/>
                <w:lang w:val="en-US" w:eastAsia="zh-CN"/>
              </w:rPr>
              <w:t>2600103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孙慧强</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北京软信诚拍卖行有限公司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河北圣源祥拍卖有限公司</w:t>
            </w:r>
          </w:p>
        </w:tc>
        <w:tc>
          <w:tcPr>
            <w:tcW w:w="1260" w:type="dxa"/>
            <w:vAlign w:val="center"/>
          </w:tcPr>
          <w:p>
            <w:pPr>
              <w:jc w:val="both"/>
              <w:rPr>
                <w:rFonts w:hint="eastAsia" w:ascii="仿宋" w:hAnsi="仿宋" w:eastAsia="仿宋" w:cs="仿宋"/>
                <w:i w:val="0"/>
                <w:color w:val="181717" w:themeColor="background2" w:themeShade="1A"/>
                <w:sz w:val="24"/>
                <w:szCs w:val="24"/>
                <w:lang w:val="en-US" w:eastAsia="zh-CN"/>
              </w:rPr>
            </w:pPr>
            <w:r>
              <w:rPr>
                <w:rFonts w:hint="eastAsia" w:ascii="仿宋" w:hAnsi="仿宋" w:eastAsia="仿宋" w:cs="仿宋"/>
                <w:i w:val="0"/>
                <w:color w:val="181717" w:themeColor="background2" w:themeShade="1A"/>
                <w:sz w:val="24"/>
                <w:szCs w:val="24"/>
                <w:lang w:val="en-US" w:eastAsia="zh-CN"/>
              </w:rPr>
              <w:t>1900057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王玉洁</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唐山市金德拍卖有限公司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重庆光大佳网络科技有限公司</w:t>
            </w:r>
          </w:p>
        </w:tc>
        <w:tc>
          <w:tcPr>
            <w:tcW w:w="1260" w:type="dxa"/>
            <w:vAlign w:val="center"/>
          </w:tcPr>
          <w:p>
            <w:pPr>
              <w:jc w:val="both"/>
              <w:rPr>
                <w:rFonts w:hint="eastAsia" w:ascii="仿宋" w:hAnsi="仿宋" w:eastAsia="仿宋" w:cs="仿宋"/>
                <w:i w:val="0"/>
                <w:color w:val="181717" w:themeColor="background2" w:themeShade="1A"/>
                <w:sz w:val="24"/>
                <w:szCs w:val="24"/>
                <w:lang w:val="en-US" w:eastAsia="zh-CN"/>
              </w:rPr>
            </w:pPr>
            <w:r>
              <w:rPr>
                <w:rFonts w:hint="eastAsia" w:ascii="仿宋" w:hAnsi="仿宋" w:eastAsia="仿宋" w:cs="仿宋"/>
                <w:i w:val="0"/>
                <w:color w:val="181717" w:themeColor="background2" w:themeShade="1A"/>
                <w:sz w:val="24"/>
                <w:szCs w:val="24"/>
                <w:lang w:val="en-US" w:eastAsia="zh-CN"/>
              </w:rPr>
              <w:t>1103100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马苏丽</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河北嘉海拍卖有限公司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承德博诚拍卖有限公司</w:t>
            </w:r>
          </w:p>
        </w:tc>
        <w:tc>
          <w:tcPr>
            <w:tcW w:w="1260" w:type="dxa"/>
            <w:vAlign w:val="center"/>
          </w:tcPr>
          <w:p>
            <w:pPr>
              <w:jc w:val="both"/>
              <w:rPr>
                <w:rFonts w:hint="eastAsia" w:ascii="仿宋" w:hAnsi="仿宋" w:eastAsia="仿宋" w:cs="仿宋"/>
                <w:i w:val="0"/>
                <w:color w:val="181717" w:themeColor="background2" w:themeShade="1A"/>
                <w:sz w:val="24"/>
                <w:szCs w:val="24"/>
                <w:lang w:val="en-US" w:eastAsia="zh-CN"/>
              </w:rPr>
            </w:pPr>
            <w:r>
              <w:rPr>
                <w:rFonts w:hint="eastAsia" w:ascii="仿宋" w:hAnsi="仿宋" w:eastAsia="仿宋" w:cs="仿宋"/>
                <w:i w:val="0"/>
                <w:color w:val="181717" w:themeColor="background2" w:themeShade="1A"/>
                <w:sz w:val="24"/>
                <w:szCs w:val="24"/>
                <w:lang w:val="en-US" w:eastAsia="zh-CN"/>
              </w:rPr>
              <w:t>2100076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肖峰</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河北晶坛拍卖有限公司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北京茗探拍卖有限公司</w:t>
            </w:r>
          </w:p>
        </w:tc>
        <w:tc>
          <w:tcPr>
            <w:tcW w:w="1260" w:type="dxa"/>
            <w:vAlign w:val="center"/>
          </w:tcPr>
          <w:p>
            <w:pPr>
              <w:jc w:val="both"/>
              <w:rPr>
                <w:rFonts w:hint="eastAsia" w:ascii="仿宋" w:hAnsi="仿宋" w:eastAsia="仿宋" w:cs="仿宋"/>
                <w:i w:val="0"/>
                <w:color w:val="181717" w:themeColor="background2" w:themeShade="1A"/>
                <w:sz w:val="24"/>
                <w:szCs w:val="24"/>
                <w:lang w:val="en-US" w:eastAsia="zh-CN"/>
              </w:rPr>
            </w:pPr>
            <w:r>
              <w:rPr>
                <w:rFonts w:hint="eastAsia" w:ascii="仿宋" w:hAnsi="仿宋" w:eastAsia="仿宋" w:cs="仿宋"/>
                <w:i w:val="0"/>
                <w:color w:val="181717" w:themeColor="background2" w:themeShade="1A"/>
                <w:sz w:val="24"/>
                <w:szCs w:val="24"/>
                <w:lang w:val="en-US" w:eastAsia="zh-CN"/>
              </w:rPr>
              <w:t>2500521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马伟丽</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北京匡德国际拍卖有限公司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河北汇鑫拍卖有限公司</w:t>
            </w:r>
          </w:p>
        </w:tc>
        <w:tc>
          <w:tcPr>
            <w:tcW w:w="1260" w:type="dxa"/>
            <w:vAlign w:val="center"/>
          </w:tcPr>
          <w:p>
            <w:pPr>
              <w:jc w:val="both"/>
              <w:rPr>
                <w:rFonts w:hint="eastAsia" w:ascii="仿宋" w:hAnsi="仿宋" w:eastAsia="仿宋" w:cs="仿宋"/>
                <w:i w:val="0"/>
                <w:color w:val="181717" w:themeColor="background2" w:themeShade="1A"/>
                <w:sz w:val="24"/>
                <w:szCs w:val="24"/>
                <w:lang w:val="en-US" w:eastAsia="zh-CN"/>
              </w:rPr>
            </w:pPr>
            <w:r>
              <w:rPr>
                <w:rFonts w:hint="eastAsia" w:ascii="仿宋" w:hAnsi="仿宋" w:eastAsia="仿宋" w:cs="仿宋"/>
                <w:i w:val="0"/>
                <w:color w:val="181717" w:themeColor="background2" w:themeShade="1A"/>
                <w:sz w:val="24"/>
                <w:szCs w:val="24"/>
                <w:lang w:val="en-US" w:eastAsia="zh-CN"/>
              </w:rPr>
              <w:t>2500344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李朝阳</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河北金友谊拍卖有限公司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河北忠尚拍拍卖有限公司</w:t>
            </w:r>
          </w:p>
        </w:tc>
        <w:tc>
          <w:tcPr>
            <w:tcW w:w="1260" w:type="dxa"/>
            <w:vAlign w:val="center"/>
          </w:tcPr>
          <w:p>
            <w:pPr>
              <w:jc w:val="both"/>
              <w:rPr>
                <w:rFonts w:hint="eastAsia" w:ascii="仿宋" w:hAnsi="仿宋" w:eastAsia="仿宋" w:cs="仿宋"/>
                <w:i w:val="0"/>
                <w:color w:val="181717" w:themeColor="background2" w:themeShade="1A"/>
                <w:sz w:val="24"/>
                <w:szCs w:val="24"/>
                <w:lang w:val="en-US" w:eastAsia="zh-CN"/>
              </w:rPr>
            </w:pPr>
            <w:r>
              <w:rPr>
                <w:rFonts w:hint="eastAsia" w:ascii="仿宋" w:hAnsi="仿宋" w:eastAsia="仿宋" w:cs="仿宋"/>
                <w:i w:val="0"/>
                <w:color w:val="181717" w:themeColor="background2" w:themeShade="1A"/>
                <w:sz w:val="24"/>
                <w:szCs w:val="24"/>
                <w:lang w:val="en-US" w:eastAsia="zh-CN"/>
              </w:rPr>
              <w:t>1002825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王鹏娟</w:t>
            </w:r>
          </w:p>
        </w:tc>
        <w:tc>
          <w:tcPr>
            <w:tcW w:w="3855"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北京翰墨国际拍卖有限公司</w:t>
            </w:r>
          </w:p>
        </w:tc>
        <w:tc>
          <w:tcPr>
            <w:tcW w:w="3735"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唐山市融华拍卖有限公司</w:t>
            </w:r>
          </w:p>
        </w:tc>
        <w:tc>
          <w:tcPr>
            <w:tcW w:w="1260" w:type="dxa"/>
            <w:vAlign w:val="center"/>
          </w:tcPr>
          <w:p>
            <w:pPr>
              <w:jc w:val="both"/>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2800027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袁雪</w:t>
            </w:r>
          </w:p>
        </w:tc>
        <w:tc>
          <w:tcPr>
            <w:tcW w:w="3855"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辽宁荣信拍卖有限公司</w:t>
            </w:r>
          </w:p>
        </w:tc>
        <w:tc>
          <w:tcPr>
            <w:tcW w:w="3735"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河北盛融拍卖有限责任公司</w:t>
            </w:r>
          </w:p>
        </w:tc>
        <w:tc>
          <w:tcPr>
            <w:tcW w:w="1260" w:type="dxa"/>
            <w:vAlign w:val="center"/>
          </w:tcPr>
          <w:p>
            <w:pPr>
              <w:jc w:val="both"/>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2600116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赵慧芳</w:t>
            </w:r>
          </w:p>
        </w:tc>
        <w:tc>
          <w:tcPr>
            <w:tcW w:w="3855"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河北德诚拍卖有限公司</w:t>
            </w:r>
          </w:p>
        </w:tc>
        <w:tc>
          <w:tcPr>
            <w:tcW w:w="3735"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河北瑞光拍卖有限公司</w:t>
            </w:r>
          </w:p>
        </w:tc>
        <w:tc>
          <w:tcPr>
            <w:tcW w:w="1260" w:type="dxa"/>
            <w:vAlign w:val="center"/>
          </w:tcPr>
          <w:p>
            <w:pPr>
              <w:jc w:val="both"/>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2000104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马宽</w:t>
            </w:r>
          </w:p>
        </w:tc>
        <w:tc>
          <w:tcPr>
            <w:tcW w:w="3855"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优信拍（北京）拍卖有限公司</w:t>
            </w:r>
          </w:p>
        </w:tc>
        <w:tc>
          <w:tcPr>
            <w:tcW w:w="3735"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廊坊衡立拍卖有限公司</w:t>
            </w:r>
          </w:p>
        </w:tc>
        <w:tc>
          <w:tcPr>
            <w:tcW w:w="1260" w:type="dxa"/>
            <w:vAlign w:val="center"/>
          </w:tcPr>
          <w:p>
            <w:pPr>
              <w:jc w:val="both"/>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2300038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何锐</w:t>
            </w:r>
          </w:p>
        </w:tc>
        <w:tc>
          <w:tcPr>
            <w:tcW w:w="3855"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大马河北拍卖有限公司</w:t>
            </w:r>
          </w:p>
        </w:tc>
        <w:tc>
          <w:tcPr>
            <w:tcW w:w="3735"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河北翰如拍卖有限公司</w:t>
            </w:r>
          </w:p>
        </w:tc>
        <w:tc>
          <w:tcPr>
            <w:tcW w:w="1260" w:type="dxa"/>
            <w:vAlign w:val="center"/>
          </w:tcPr>
          <w:p>
            <w:pPr>
              <w:jc w:val="both"/>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2800093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王大海</w:t>
            </w:r>
          </w:p>
        </w:tc>
        <w:tc>
          <w:tcPr>
            <w:tcW w:w="3855"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秦皇岛致公拍卖有限公司</w:t>
            </w:r>
          </w:p>
        </w:tc>
        <w:tc>
          <w:tcPr>
            <w:tcW w:w="3735"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洪力科技有限公司</w:t>
            </w:r>
          </w:p>
        </w:tc>
        <w:tc>
          <w:tcPr>
            <w:tcW w:w="1260" w:type="dxa"/>
            <w:vAlign w:val="center"/>
          </w:tcPr>
          <w:p>
            <w:pPr>
              <w:jc w:val="both"/>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1700303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张浩</w:t>
            </w:r>
          </w:p>
        </w:tc>
        <w:tc>
          <w:tcPr>
            <w:tcW w:w="3855"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河北翰如拍卖有限公司</w:t>
            </w:r>
          </w:p>
        </w:tc>
        <w:tc>
          <w:tcPr>
            <w:tcW w:w="3735"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唐山嘉信拍卖有限公司</w:t>
            </w:r>
          </w:p>
        </w:tc>
        <w:tc>
          <w:tcPr>
            <w:tcW w:w="1260" w:type="dxa"/>
            <w:vAlign w:val="center"/>
          </w:tcPr>
          <w:p>
            <w:pPr>
              <w:jc w:val="both"/>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2700120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张蕊</w:t>
            </w:r>
          </w:p>
        </w:tc>
        <w:tc>
          <w:tcPr>
            <w:tcW w:w="3855"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lang w:eastAsia="zh-CN"/>
              </w:rPr>
              <w:t>天</w:t>
            </w:r>
            <w:r>
              <w:rPr>
                <w:rFonts w:hint="eastAsia" w:ascii="仿宋" w:hAnsi="仿宋" w:eastAsia="仿宋" w:cs="仿宋"/>
                <w:i w:val="0"/>
                <w:color w:val="181717" w:themeColor="background2" w:themeShade="1A"/>
                <w:sz w:val="24"/>
                <w:szCs w:val="24"/>
              </w:rPr>
              <w:t>津市建元艺术品拍卖有限公司</w:t>
            </w:r>
          </w:p>
        </w:tc>
        <w:tc>
          <w:tcPr>
            <w:tcW w:w="3735"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沧州市公立信拍卖有限公司</w:t>
            </w:r>
          </w:p>
        </w:tc>
        <w:tc>
          <w:tcPr>
            <w:tcW w:w="1260" w:type="dxa"/>
            <w:vAlign w:val="center"/>
          </w:tcPr>
          <w:p>
            <w:pPr>
              <w:jc w:val="both"/>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2200033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董姝</w:t>
            </w:r>
          </w:p>
        </w:tc>
        <w:tc>
          <w:tcPr>
            <w:tcW w:w="3855"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艺贰叁拍卖有限公司</w:t>
            </w:r>
          </w:p>
        </w:tc>
        <w:tc>
          <w:tcPr>
            <w:tcW w:w="3735"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山西同业拍卖有限责任公司</w:t>
            </w:r>
          </w:p>
        </w:tc>
        <w:tc>
          <w:tcPr>
            <w:tcW w:w="1260" w:type="dxa"/>
            <w:vAlign w:val="center"/>
          </w:tcPr>
          <w:p>
            <w:pPr>
              <w:jc w:val="both"/>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2200067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许爱云</w:t>
            </w:r>
          </w:p>
        </w:tc>
        <w:tc>
          <w:tcPr>
            <w:tcW w:w="3855"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湖南新财源拍卖有限公司</w:t>
            </w:r>
          </w:p>
        </w:tc>
        <w:tc>
          <w:tcPr>
            <w:tcW w:w="3735"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河北珖润悦拍卖有限公司</w:t>
            </w:r>
          </w:p>
        </w:tc>
        <w:tc>
          <w:tcPr>
            <w:tcW w:w="1260" w:type="dxa"/>
            <w:vAlign w:val="center"/>
          </w:tcPr>
          <w:p>
            <w:pPr>
              <w:jc w:val="both"/>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2200323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易德明</w:t>
            </w:r>
          </w:p>
        </w:tc>
        <w:tc>
          <w:tcPr>
            <w:tcW w:w="3855"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邯郸市拍卖行有限公司</w:t>
            </w:r>
          </w:p>
        </w:tc>
        <w:tc>
          <w:tcPr>
            <w:tcW w:w="3735"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河北天宇浩远拍卖有限公司</w:t>
            </w:r>
          </w:p>
        </w:tc>
        <w:tc>
          <w:tcPr>
            <w:tcW w:w="1260" w:type="dxa"/>
            <w:vAlign w:val="center"/>
          </w:tcPr>
          <w:p>
            <w:pPr>
              <w:jc w:val="both"/>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2000473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陈滨球</w:t>
            </w:r>
          </w:p>
        </w:tc>
        <w:tc>
          <w:tcPr>
            <w:tcW w:w="3855"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广东君信拍卖有限公司</w:t>
            </w:r>
          </w:p>
        </w:tc>
        <w:tc>
          <w:tcPr>
            <w:tcW w:w="3735"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河北乾通拍卖有限公司</w:t>
            </w:r>
          </w:p>
        </w:tc>
        <w:tc>
          <w:tcPr>
            <w:tcW w:w="1260" w:type="dxa"/>
            <w:vAlign w:val="center"/>
          </w:tcPr>
          <w:p>
            <w:pPr>
              <w:jc w:val="both"/>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2400471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焦亮</w:t>
            </w:r>
          </w:p>
        </w:tc>
        <w:tc>
          <w:tcPr>
            <w:tcW w:w="3855"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河北金恒拍卖有限公司</w:t>
            </w:r>
          </w:p>
        </w:tc>
        <w:tc>
          <w:tcPr>
            <w:tcW w:w="3735" w:type="dxa"/>
            <w:vAlign w:val="center"/>
          </w:tcPr>
          <w:p>
            <w:pPr>
              <w:jc w:val="center"/>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北京华夏传承国际拍卖有限公司</w:t>
            </w:r>
          </w:p>
        </w:tc>
        <w:tc>
          <w:tcPr>
            <w:tcW w:w="1260" w:type="dxa"/>
            <w:vAlign w:val="center"/>
          </w:tcPr>
          <w:p>
            <w:pPr>
              <w:jc w:val="both"/>
              <w:rPr>
                <w:rFonts w:hint="eastAsia" w:ascii="仿宋" w:hAnsi="仿宋" w:eastAsia="仿宋" w:cs="仿宋"/>
                <w:i w:val="0"/>
                <w:color w:val="181717" w:themeColor="background2" w:themeShade="1A"/>
                <w:sz w:val="24"/>
                <w:szCs w:val="24"/>
              </w:rPr>
            </w:pPr>
            <w:r>
              <w:rPr>
                <w:rFonts w:hint="eastAsia" w:ascii="仿宋" w:hAnsi="仿宋" w:eastAsia="仿宋" w:cs="仿宋"/>
                <w:i w:val="0"/>
                <w:color w:val="181717" w:themeColor="background2" w:themeShade="1A"/>
                <w:sz w:val="24"/>
                <w:szCs w:val="24"/>
              </w:rPr>
              <w:t>2700121</w:t>
            </w:r>
          </w:p>
        </w:tc>
      </w:tr>
      <w:bookmarkEnd w:id="1"/>
    </w:tbl>
    <w:p>
      <w:pPr>
        <w:tabs>
          <w:tab w:val="left" w:pos="3148"/>
        </w:tabs>
        <w:ind w:firstLine="1800" w:firstLineChars="500"/>
        <w:jc w:val="left"/>
        <w:rPr>
          <w:rFonts w:hint="eastAsia" w:ascii="仿宋" w:hAnsi="仿宋" w:eastAsia="仿宋" w:cs="仿宋"/>
          <w:b w:val="0"/>
          <w:i w:val="0"/>
          <w:caps w:val="0"/>
          <w:color w:val="000000"/>
          <w:spacing w:val="0"/>
          <w:sz w:val="36"/>
          <w:szCs w:val="36"/>
          <w:shd w:val="clear" w:fill="FFFFFF"/>
          <w:lang w:val="en-US" w:eastAsia="zh-CN"/>
        </w:rPr>
      </w:pPr>
    </w:p>
    <w:p>
      <w:pPr>
        <w:tabs>
          <w:tab w:val="left" w:pos="3148"/>
        </w:tabs>
        <w:ind w:firstLine="1800" w:firstLineChars="500"/>
        <w:jc w:val="left"/>
        <w:rPr>
          <w:rFonts w:hint="eastAsia" w:ascii="仿宋" w:hAnsi="仿宋" w:eastAsia="仿宋" w:cs="仿宋"/>
          <w:b w:val="0"/>
          <w:i w:val="0"/>
          <w:caps w:val="0"/>
          <w:color w:val="000000"/>
          <w:spacing w:val="0"/>
          <w:sz w:val="36"/>
          <w:szCs w:val="36"/>
          <w:shd w:val="clear" w:fill="FFFFFF"/>
          <w:lang w:val="en-US" w:eastAsia="zh-CN"/>
        </w:rPr>
      </w:pPr>
    </w:p>
    <w:p>
      <w:pPr>
        <w:tabs>
          <w:tab w:val="left" w:pos="3148"/>
        </w:tabs>
        <w:ind w:firstLine="1800" w:firstLineChars="500"/>
        <w:jc w:val="left"/>
        <w:rPr>
          <w:rFonts w:hint="eastAsia" w:ascii="仿宋" w:hAnsi="仿宋" w:eastAsia="仿宋" w:cs="仿宋"/>
          <w:b w:val="0"/>
          <w:i w:val="0"/>
          <w:caps w:val="0"/>
          <w:color w:val="000000"/>
          <w:spacing w:val="0"/>
          <w:sz w:val="36"/>
          <w:szCs w:val="36"/>
          <w:shd w:val="clear" w:fill="FFFFFF"/>
          <w:lang w:val="en-US" w:eastAsia="zh-CN"/>
        </w:rPr>
      </w:pPr>
    </w:p>
    <w:p>
      <w:pPr>
        <w:tabs>
          <w:tab w:val="left" w:pos="3148"/>
        </w:tabs>
        <w:ind w:firstLine="1800" w:firstLineChars="500"/>
        <w:jc w:val="left"/>
        <w:rPr>
          <w:rFonts w:hint="eastAsia" w:ascii="仿宋" w:hAnsi="仿宋" w:eastAsia="仿宋" w:cs="仿宋"/>
          <w:b w:val="0"/>
          <w:i w:val="0"/>
          <w:caps w:val="0"/>
          <w:color w:val="000000"/>
          <w:spacing w:val="0"/>
          <w:sz w:val="36"/>
          <w:szCs w:val="36"/>
          <w:shd w:val="clear" w:fill="FFFFFF"/>
          <w:lang w:val="en-US" w:eastAsia="zh-CN"/>
        </w:rPr>
      </w:pPr>
    </w:p>
    <w:p>
      <w:pPr>
        <w:tabs>
          <w:tab w:val="left" w:pos="3148"/>
        </w:tabs>
        <w:ind w:firstLine="1440" w:firstLineChars="400"/>
        <w:jc w:val="left"/>
        <w:rPr>
          <w:rFonts w:hint="eastAsia" w:eastAsia="仿宋"/>
          <w:sz w:val="36"/>
          <w:szCs w:val="36"/>
          <w:lang w:eastAsia="zh-CN"/>
        </w:rPr>
      </w:pPr>
    </w:p>
    <w:p>
      <w:pPr>
        <w:jc w:val="left"/>
        <w:rPr>
          <w:rFonts w:hint="eastAsia" w:ascii="微软雅黑" w:hAnsi="微软雅黑" w:eastAsia="微软雅黑" w:cs="微软雅黑"/>
          <w:b w:val="0"/>
          <w:i w:val="0"/>
          <w:caps w:val="0"/>
          <w:color w:val="000000"/>
          <w:spacing w:val="0"/>
          <w:kern w:val="2"/>
          <w:sz w:val="27"/>
          <w:szCs w:val="27"/>
          <w:lang w:val="en-US" w:eastAsia="zh-CN" w:bidi="ar-SA"/>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onsolas">
    <w:panose1 w:val="020B0609020204030204"/>
    <w:charset w:val="00"/>
    <w:family w:val="auto"/>
    <w:pitch w:val="default"/>
    <w:sig w:usb0="E10002FF" w:usb1="4000FCFF" w:usb2="00000009" w:usb3="00000000" w:csb0="6000019F" w:csb1="DFD7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5620D2"/>
    <w:rsid w:val="00783A83"/>
    <w:rsid w:val="0FA100D8"/>
    <w:rsid w:val="1B5620D2"/>
    <w:rsid w:val="3644250E"/>
    <w:rsid w:val="51DB3A46"/>
    <w:rsid w:val="65AD09EB"/>
    <w:rsid w:val="664E01BA"/>
    <w:rsid w:val="6D535020"/>
    <w:rsid w:val="6DF171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7">
    <w:name w:val="Default Paragraph Font"/>
    <w:semiHidden/>
    <w:qFormat/>
    <w:uiPriority w:val="0"/>
  </w:style>
  <w:style w:type="table" w:default="1" w:styleId="16">
    <w:name w:val="Normal Table"/>
    <w:semiHidden/>
    <w:qFormat/>
    <w:uiPriority w:val="0"/>
    <w:tblPr>
      <w:tblLayout w:type="fixed"/>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FollowedHyperlink"/>
    <w:basedOn w:val="7"/>
    <w:qFormat/>
    <w:uiPriority w:val="0"/>
    <w:rPr>
      <w:color w:val="337AB7"/>
      <w:u w:val="none"/>
    </w:rPr>
  </w:style>
  <w:style w:type="character" w:styleId="10">
    <w:name w:val="Emphasis"/>
    <w:basedOn w:val="7"/>
    <w:qFormat/>
    <w:uiPriority w:val="0"/>
    <w:rPr>
      <w:i/>
    </w:rPr>
  </w:style>
  <w:style w:type="character" w:styleId="11">
    <w:name w:val="HTML Definition"/>
    <w:basedOn w:val="7"/>
    <w:qFormat/>
    <w:uiPriority w:val="0"/>
    <w:rPr>
      <w:i/>
    </w:rPr>
  </w:style>
  <w:style w:type="character" w:styleId="12">
    <w:name w:val="Hyperlink"/>
    <w:basedOn w:val="7"/>
    <w:qFormat/>
    <w:uiPriority w:val="0"/>
    <w:rPr>
      <w:color w:val="0000FF"/>
      <w:u w:val="single"/>
    </w:rPr>
  </w:style>
  <w:style w:type="character" w:styleId="13">
    <w:name w:val="HTML Code"/>
    <w:basedOn w:val="7"/>
    <w:qFormat/>
    <w:uiPriority w:val="0"/>
    <w:rPr>
      <w:rFonts w:hint="default" w:ascii="Consolas" w:hAnsi="Consolas" w:eastAsia="Consolas" w:cs="Consolas"/>
      <w:color w:val="C7254E"/>
      <w:sz w:val="21"/>
      <w:szCs w:val="21"/>
      <w:shd w:val="clear" w:fill="F9F2F4"/>
    </w:rPr>
  </w:style>
  <w:style w:type="character" w:styleId="14">
    <w:name w:val="HTML Keyboard"/>
    <w:basedOn w:val="7"/>
    <w:qFormat/>
    <w:uiPriority w:val="0"/>
    <w:rPr>
      <w:rFonts w:ascii="Consolas" w:hAnsi="Consolas" w:eastAsia="Consolas" w:cs="Consolas"/>
      <w:color w:val="FFFFFF"/>
      <w:sz w:val="21"/>
      <w:szCs w:val="21"/>
      <w:shd w:val="clear" w:fill="333333"/>
    </w:rPr>
  </w:style>
  <w:style w:type="character" w:styleId="15">
    <w:name w:val="HTML Sample"/>
    <w:basedOn w:val="7"/>
    <w:qFormat/>
    <w:uiPriority w:val="0"/>
    <w:rPr>
      <w:rFonts w:hint="default" w:ascii="Consolas" w:hAnsi="Consolas" w:eastAsia="Consolas" w:cs="Consolas"/>
      <w:sz w:val="21"/>
      <w:szCs w:val="21"/>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8">
    <w:name w:val="on"/>
    <w:basedOn w:val="7"/>
    <w:qFormat/>
    <w:uiPriority w:val="0"/>
    <w:rPr>
      <w:shd w:val="clear" w:fill="FFFFFF"/>
    </w:rPr>
  </w:style>
  <w:style w:type="character" w:customStyle="1" w:styleId="19">
    <w:name w:val="title-red"/>
    <w:basedOn w:val="7"/>
    <w:qFormat/>
    <w:uiPriority w:val="0"/>
    <w:rPr>
      <w:b/>
      <w:color w:val="FFFFFF"/>
      <w:sz w:val="21"/>
      <w:szCs w:val="21"/>
      <w:shd w:val="clear" w:fill="BE020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NUL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3</TotalTime>
  <ScaleCrop>false</ScaleCrop>
  <LinksUpToDate>false</LinksUpToDate>
  <CharactersWithSpaces>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2018-08-21T07:21:00Z</dcterms:created>
  <dc:creator>Administrator</dc:creator>
  <cp:lastModifiedBy>Administrator</cp:lastModifiedBy>
  <dcterms:modified xsi:type="dcterms:W3CDTF">2018-08-27T02:51:53Z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